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5251"/>
        <w:gridCol w:w="2127"/>
      </w:tblGrid>
      <w:tr w:rsidR="00FF608C" w:rsidRPr="00714667" w:rsidTr="00FF608C">
        <w:tc>
          <w:tcPr>
            <w:tcW w:w="1661" w:type="dxa"/>
            <w:shd w:val="clear" w:color="auto" w:fill="auto"/>
          </w:tcPr>
          <w:p w:rsidR="00FF608C" w:rsidRPr="00714667" w:rsidRDefault="00FF608C" w:rsidP="007C0914">
            <w:r w:rsidRPr="00714667">
              <w:t>Version</w:t>
            </w:r>
          </w:p>
        </w:tc>
        <w:tc>
          <w:tcPr>
            <w:tcW w:w="5251" w:type="dxa"/>
            <w:shd w:val="clear" w:color="auto" w:fill="auto"/>
          </w:tcPr>
          <w:p w:rsidR="00FF608C" w:rsidRPr="00714667" w:rsidRDefault="00FF608C" w:rsidP="007C0914">
            <w:r w:rsidRPr="00714667">
              <w:t>Comment</w:t>
            </w:r>
          </w:p>
        </w:tc>
        <w:tc>
          <w:tcPr>
            <w:tcW w:w="2127" w:type="dxa"/>
            <w:shd w:val="clear" w:color="auto" w:fill="auto"/>
          </w:tcPr>
          <w:p w:rsidR="00FF608C" w:rsidRPr="00714667" w:rsidRDefault="00FF608C" w:rsidP="007C0914">
            <w:r w:rsidRPr="00714667">
              <w:t>Date Agreed</w:t>
            </w:r>
          </w:p>
        </w:tc>
      </w:tr>
    </w:tbl>
    <w:p w:rsidR="00E434E8" w:rsidRPr="00714667" w:rsidRDefault="00E434E8" w:rsidP="007C0914"/>
    <w:p w:rsidR="00E434E8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Constitution</w:t>
      </w:r>
      <w:r w:rsidRPr="00714667">
        <w:rPr>
          <w:rFonts w:ascii="Arial" w:hAnsi="Arial" w:cs="Arial"/>
          <w:sz w:val="24"/>
          <w:szCs w:val="24"/>
        </w:rPr>
        <w:tab/>
      </w:r>
    </w:p>
    <w:p w:rsidR="007C0914" w:rsidRPr="00714667" w:rsidRDefault="00E434E8" w:rsidP="007C0914">
      <w:r w:rsidRPr="00714667">
        <w:t xml:space="preserve">At a meeting of the Board of </w:t>
      </w:r>
      <w:r w:rsidR="0004187F" w:rsidRPr="00714667">
        <w:t>Trustees</w:t>
      </w:r>
      <w:r w:rsidRPr="00714667">
        <w:t xml:space="preserve"> it was resolved that the </w:t>
      </w:r>
      <w:r w:rsidR="000F1A4D" w:rsidRPr="00714667">
        <w:t xml:space="preserve">Governance </w:t>
      </w:r>
      <w:r w:rsidRPr="00714667">
        <w:t>Com</w:t>
      </w:r>
      <w:r w:rsidR="000F1A4D" w:rsidRPr="00714667">
        <w:t xml:space="preserve">mittee should be formed as a </w:t>
      </w:r>
      <w:r w:rsidRPr="00714667">
        <w:t>Committee of the Company’s Board.</w:t>
      </w:r>
    </w:p>
    <w:p w:rsidR="007C0914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Membership</w:t>
      </w:r>
      <w:r w:rsidRPr="00714667">
        <w:rPr>
          <w:rFonts w:ascii="Arial" w:hAnsi="Arial" w:cs="Arial"/>
          <w:sz w:val="24"/>
          <w:szCs w:val="24"/>
        </w:rPr>
        <w:tab/>
      </w:r>
    </w:p>
    <w:p w:rsidR="00E434E8" w:rsidRPr="009F2ADF" w:rsidRDefault="00E434E8" w:rsidP="007C0914">
      <w:pPr>
        <w:rPr>
          <w:i/>
        </w:rPr>
      </w:pPr>
      <w:r w:rsidRPr="009F2ADF">
        <w:t xml:space="preserve">The </w:t>
      </w:r>
      <w:r w:rsidR="000F1A4D" w:rsidRPr="009F2ADF">
        <w:t xml:space="preserve">Governance </w:t>
      </w:r>
      <w:r w:rsidRPr="009F2ADF">
        <w:t xml:space="preserve">Committee will consist of at least </w:t>
      </w:r>
      <w:r w:rsidR="004F74DE" w:rsidRPr="009F2ADF">
        <w:t>three</w:t>
      </w:r>
      <w:r w:rsidRPr="009F2ADF">
        <w:t xml:space="preserve"> </w:t>
      </w:r>
      <w:r w:rsidR="008D2E82" w:rsidRPr="009F2ADF">
        <w:t>trustees</w:t>
      </w:r>
      <w:r w:rsidR="003A291F" w:rsidRPr="009F2ADF">
        <w:t xml:space="preserve"> (one of whom should be the Company Secretary)</w:t>
      </w:r>
      <w:r w:rsidR="0030284D">
        <w:t xml:space="preserve"> and</w:t>
      </w:r>
      <w:r w:rsidRPr="009F2ADF">
        <w:t xml:space="preserve"> the Chief Executive</w:t>
      </w:r>
      <w:r w:rsidR="0030284D">
        <w:t xml:space="preserve"> Officer.</w:t>
      </w:r>
    </w:p>
    <w:p w:rsidR="00E434E8" w:rsidRPr="00714667" w:rsidRDefault="00E434E8" w:rsidP="007C0914"/>
    <w:p w:rsidR="001D64EA" w:rsidRDefault="001D64EA" w:rsidP="001D64EA">
      <w:r w:rsidRPr="00C471DF">
        <w:t xml:space="preserve">A quorum shall be </w:t>
      </w:r>
      <w:r>
        <w:t>3</w:t>
      </w:r>
      <w:r w:rsidRPr="00C471DF">
        <w:t xml:space="preserve"> members, to include </w:t>
      </w:r>
      <w:r>
        <w:t>2 trustees.</w:t>
      </w:r>
    </w:p>
    <w:p w:rsidR="001D64EA" w:rsidRPr="00C471DF" w:rsidRDefault="001D64EA" w:rsidP="001D64EA"/>
    <w:p w:rsidR="001D64EA" w:rsidRPr="00E434E8" w:rsidRDefault="001D64EA" w:rsidP="001D64EA">
      <w:r w:rsidRPr="00C471DF">
        <w:t xml:space="preserve">Any Board Members who are not formally members of the committee may choose to attend a </w:t>
      </w:r>
      <w:r w:rsidR="009F2ADF">
        <w:t xml:space="preserve">Governance </w:t>
      </w:r>
      <w:r>
        <w:t>committee meeting.</w:t>
      </w:r>
    </w:p>
    <w:p w:rsidR="00E434E8" w:rsidRPr="00714667" w:rsidRDefault="00E434E8" w:rsidP="001D64EA">
      <w:pPr>
        <w:ind w:left="0"/>
      </w:pPr>
    </w:p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 xml:space="preserve">Chair </w:t>
      </w:r>
      <w:r w:rsidRPr="00714667">
        <w:rPr>
          <w:rFonts w:ascii="Arial" w:hAnsi="Arial" w:cs="Arial"/>
          <w:sz w:val="24"/>
          <w:szCs w:val="24"/>
        </w:rPr>
        <w:tab/>
      </w:r>
    </w:p>
    <w:p w:rsidR="00E434E8" w:rsidRPr="00714667" w:rsidRDefault="008D2E82" w:rsidP="007C0914">
      <w:r w:rsidRPr="00714667">
        <w:t>A trustee will c</w:t>
      </w:r>
      <w:r w:rsidR="00E434E8" w:rsidRPr="00714667">
        <w:t>hair the meeting</w:t>
      </w:r>
    </w:p>
    <w:p w:rsidR="00C471DF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Authority</w:t>
      </w:r>
      <w:r w:rsidRPr="00714667">
        <w:rPr>
          <w:rFonts w:ascii="Arial" w:hAnsi="Arial" w:cs="Arial"/>
          <w:sz w:val="24"/>
          <w:szCs w:val="24"/>
        </w:rPr>
        <w:tab/>
      </w:r>
    </w:p>
    <w:p w:rsidR="00E434E8" w:rsidRPr="00714667" w:rsidRDefault="00E434E8" w:rsidP="007C0914">
      <w:r w:rsidRPr="00714667">
        <w:t xml:space="preserve">The </w:t>
      </w:r>
      <w:r w:rsidR="000F1A4D" w:rsidRPr="00714667">
        <w:t xml:space="preserve">Governance </w:t>
      </w:r>
      <w:r w:rsidRPr="00714667">
        <w:t xml:space="preserve">Committee will have oversight of the organisation’s </w:t>
      </w:r>
      <w:r w:rsidR="008D2E82" w:rsidRPr="00714667">
        <w:t>governance</w:t>
      </w:r>
      <w:r w:rsidR="0030284D">
        <w:t>,</w:t>
      </w:r>
      <w:r w:rsidR="00E0745A">
        <w:t xml:space="preserve"> Trustee recruitment</w:t>
      </w:r>
      <w:r w:rsidR="0030284D">
        <w:t xml:space="preserve"> and will review trustee related policies with recommendations to the Board</w:t>
      </w:r>
      <w:r w:rsidR="00E0745A">
        <w:t>.</w:t>
      </w:r>
    </w:p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Accountability</w:t>
      </w:r>
      <w:r w:rsidRPr="00714667">
        <w:rPr>
          <w:rFonts w:ascii="Arial" w:hAnsi="Arial" w:cs="Arial"/>
          <w:sz w:val="24"/>
          <w:szCs w:val="24"/>
        </w:rPr>
        <w:tab/>
      </w:r>
    </w:p>
    <w:p w:rsidR="00E434E8" w:rsidRPr="00714667" w:rsidRDefault="00E434E8" w:rsidP="007C0914">
      <w:r w:rsidRPr="00714667">
        <w:t xml:space="preserve">The Committee is accountable to the Board of </w:t>
      </w:r>
      <w:r w:rsidR="0004187F" w:rsidRPr="00714667">
        <w:t>Trustees</w:t>
      </w:r>
      <w:r w:rsidRPr="00714667">
        <w:t>.</w:t>
      </w:r>
    </w:p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Frequency of Meetings</w:t>
      </w:r>
      <w:r w:rsidRPr="00714667">
        <w:rPr>
          <w:rFonts w:ascii="Arial" w:hAnsi="Arial" w:cs="Arial"/>
          <w:sz w:val="24"/>
          <w:szCs w:val="24"/>
        </w:rPr>
        <w:tab/>
      </w:r>
    </w:p>
    <w:p w:rsidR="0030284D" w:rsidRDefault="00E434E8" w:rsidP="007C0914">
      <w:r w:rsidRPr="00714667">
        <w:t xml:space="preserve">The </w:t>
      </w:r>
      <w:r w:rsidR="000F1A4D" w:rsidRPr="00714667">
        <w:t xml:space="preserve">Governance </w:t>
      </w:r>
      <w:r w:rsidRPr="00714667">
        <w:t>Committee will normally</w:t>
      </w:r>
      <w:r w:rsidR="0030284D">
        <w:t xml:space="preserve"> meet three times per year </w:t>
      </w:r>
    </w:p>
    <w:p w:rsidR="00187619" w:rsidRDefault="00187619" w:rsidP="007C0914"/>
    <w:p w:rsidR="00E434E8" w:rsidRDefault="00E434E8" w:rsidP="007C0914">
      <w:r w:rsidRPr="00714667">
        <w:t xml:space="preserve">The </w:t>
      </w:r>
      <w:r w:rsidR="0030284D">
        <w:t>Chief Executive Officer and EA to the Board</w:t>
      </w:r>
      <w:r w:rsidRPr="00714667">
        <w:t xml:space="preserve"> will </w:t>
      </w:r>
      <w:r w:rsidR="00DB5929" w:rsidRPr="00714667">
        <w:t>approve</w:t>
      </w:r>
      <w:r w:rsidRPr="00714667">
        <w:t xml:space="preserve"> an </w:t>
      </w:r>
      <w:r w:rsidR="003A291F">
        <w:t>a</w:t>
      </w:r>
      <w:r w:rsidRPr="00714667">
        <w:t xml:space="preserve">genda </w:t>
      </w:r>
      <w:r w:rsidR="008D2E82" w:rsidRPr="00714667">
        <w:t>one week</w:t>
      </w:r>
      <w:r w:rsidRPr="00714667">
        <w:t xml:space="preserve"> prior to the meeting.  The Minutes from the previous meeting will be reviewed </w:t>
      </w:r>
      <w:r w:rsidR="003A291F">
        <w:t xml:space="preserve">at the next meeting </w:t>
      </w:r>
      <w:r w:rsidRPr="00714667">
        <w:t>with an update on any of the action items.</w:t>
      </w:r>
    </w:p>
    <w:p w:rsidR="003A291F" w:rsidRDefault="003A291F" w:rsidP="007C0914"/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Notice period of Meetings</w:t>
      </w:r>
    </w:p>
    <w:p w:rsidR="00E434E8" w:rsidRPr="00714667" w:rsidRDefault="00E434E8" w:rsidP="007C0914">
      <w:r w:rsidRPr="00714667">
        <w:t xml:space="preserve">Ordinarily the notice period for meetings will be </w:t>
      </w:r>
      <w:r w:rsidR="00F9427D" w:rsidRPr="00714667">
        <w:t xml:space="preserve">at least </w:t>
      </w:r>
      <w:r w:rsidR="0030284D">
        <w:t>3</w:t>
      </w:r>
      <w:r w:rsidRPr="00714667">
        <w:t xml:space="preserve"> month</w:t>
      </w:r>
      <w:r w:rsidR="0030284D">
        <w:t>s</w:t>
      </w:r>
      <w:r w:rsidRPr="00714667">
        <w:t>.  The notice period of any extraordinary meeting will be 24hours.</w:t>
      </w:r>
    </w:p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714667">
        <w:rPr>
          <w:rFonts w:ascii="Arial" w:hAnsi="Arial" w:cs="Arial"/>
          <w:sz w:val="24"/>
          <w:szCs w:val="24"/>
        </w:rPr>
        <w:t>Responsibilities</w:t>
      </w:r>
      <w:r w:rsidRPr="00714667">
        <w:rPr>
          <w:rFonts w:ascii="Arial" w:hAnsi="Arial" w:cs="Arial"/>
          <w:sz w:val="24"/>
          <w:szCs w:val="24"/>
        </w:rPr>
        <w:tab/>
      </w:r>
    </w:p>
    <w:p w:rsidR="008D2E82" w:rsidRPr="00714667" w:rsidRDefault="00714667" w:rsidP="00714667">
      <w:pPr>
        <w:numPr>
          <w:ilvl w:val="0"/>
          <w:numId w:val="11"/>
        </w:numPr>
        <w:autoSpaceDE w:val="0"/>
        <w:autoSpaceDN w:val="0"/>
        <w:adjustRightInd w:val="0"/>
        <w:rPr>
          <w:rStyle w:val="Emphasis"/>
          <w:i w:val="0"/>
          <w:iCs w:val="0"/>
          <w:lang w:eastAsia="en-GB"/>
        </w:rPr>
      </w:pPr>
      <w:r w:rsidRPr="00714667">
        <w:rPr>
          <w:rStyle w:val="Emphasis"/>
          <w:i w:val="0"/>
          <w:iCs w:val="0"/>
        </w:rPr>
        <w:t xml:space="preserve">To ensure the organisation acts with good governance guided by the </w:t>
      </w:r>
      <w:r w:rsidR="009F2ADF">
        <w:rPr>
          <w:rStyle w:val="Emphasis"/>
          <w:i w:val="0"/>
          <w:iCs w:val="0"/>
        </w:rPr>
        <w:t>Articles of Association</w:t>
      </w:r>
      <w:r w:rsidR="0030284D">
        <w:rPr>
          <w:rStyle w:val="Emphasis"/>
          <w:i w:val="0"/>
          <w:iCs w:val="0"/>
        </w:rPr>
        <w:t>, byelaws</w:t>
      </w:r>
      <w:r w:rsidR="009F2ADF">
        <w:rPr>
          <w:rStyle w:val="Emphasis"/>
          <w:i w:val="0"/>
          <w:iCs w:val="0"/>
        </w:rPr>
        <w:t xml:space="preserve"> and relevant legislation.</w:t>
      </w:r>
    </w:p>
    <w:p w:rsidR="00714667" w:rsidRPr="00714667" w:rsidRDefault="00714667" w:rsidP="00714667">
      <w:pPr>
        <w:autoSpaceDE w:val="0"/>
        <w:autoSpaceDN w:val="0"/>
        <w:adjustRightInd w:val="0"/>
        <w:ind w:left="720"/>
        <w:rPr>
          <w:lang w:eastAsia="en-GB"/>
        </w:rPr>
      </w:pPr>
    </w:p>
    <w:p w:rsidR="008D2E82" w:rsidRPr="00714667" w:rsidRDefault="008D2E82" w:rsidP="008D2E82">
      <w:pPr>
        <w:numPr>
          <w:ilvl w:val="0"/>
          <w:numId w:val="11"/>
        </w:numPr>
        <w:autoSpaceDE w:val="0"/>
        <w:autoSpaceDN w:val="0"/>
        <w:adjustRightInd w:val="0"/>
        <w:rPr>
          <w:lang w:eastAsia="en-GB"/>
        </w:rPr>
      </w:pPr>
      <w:r w:rsidRPr="00714667">
        <w:rPr>
          <w:lang w:eastAsia="en-GB"/>
        </w:rPr>
        <w:t xml:space="preserve">The Governance Committee should also take responsibility for the recruitment, induction and ongoing support and development for all trustees members of Committees. </w:t>
      </w:r>
    </w:p>
    <w:p w:rsidR="008D2E82" w:rsidRPr="00714667" w:rsidRDefault="008D2E82" w:rsidP="008D2E82">
      <w:pPr>
        <w:autoSpaceDE w:val="0"/>
        <w:autoSpaceDN w:val="0"/>
        <w:adjustRightInd w:val="0"/>
        <w:ind w:left="0"/>
        <w:rPr>
          <w:lang w:eastAsia="en-GB"/>
        </w:rPr>
      </w:pPr>
    </w:p>
    <w:p w:rsidR="008D2E82" w:rsidRPr="00714667" w:rsidRDefault="008D2E82" w:rsidP="008D2E82">
      <w:pPr>
        <w:numPr>
          <w:ilvl w:val="0"/>
          <w:numId w:val="11"/>
        </w:numPr>
        <w:autoSpaceDE w:val="0"/>
        <w:autoSpaceDN w:val="0"/>
        <w:adjustRightInd w:val="0"/>
        <w:rPr>
          <w:lang w:eastAsia="en-GB"/>
        </w:rPr>
      </w:pPr>
      <w:r w:rsidRPr="00714667">
        <w:rPr>
          <w:lang w:eastAsia="en-GB"/>
        </w:rPr>
        <w:t>Succession planning should be considered by the Committee annually and limited terms of office introduced for all trustees bearing in mind that any retirements would need to be staggered.</w:t>
      </w:r>
    </w:p>
    <w:p w:rsidR="008D2E82" w:rsidRPr="00714667" w:rsidRDefault="008D2E82" w:rsidP="008D2E82">
      <w:pPr>
        <w:autoSpaceDE w:val="0"/>
        <w:autoSpaceDN w:val="0"/>
        <w:adjustRightInd w:val="0"/>
        <w:ind w:left="0"/>
        <w:rPr>
          <w:lang w:eastAsia="en-GB"/>
        </w:rPr>
      </w:pPr>
    </w:p>
    <w:p w:rsidR="000F1A4D" w:rsidRPr="00714667" w:rsidRDefault="008D2E82" w:rsidP="008D2E82">
      <w:pPr>
        <w:numPr>
          <w:ilvl w:val="0"/>
          <w:numId w:val="11"/>
        </w:numPr>
        <w:autoSpaceDE w:val="0"/>
        <w:autoSpaceDN w:val="0"/>
        <w:adjustRightInd w:val="0"/>
      </w:pPr>
      <w:r w:rsidRPr="00714667">
        <w:rPr>
          <w:lang w:eastAsia="en-GB"/>
        </w:rPr>
        <w:t>The Governance Committee should oversee the process by which Trustees receive feedback on their performance</w:t>
      </w:r>
      <w:r w:rsidR="0030284D">
        <w:rPr>
          <w:lang w:eastAsia="en-GB"/>
        </w:rPr>
        <w:t>.</w:t>
      </w:r>
      <w:r w:rsidRPr="00714667">
        <w:rPr>
          <w:lang w:eastAsia="en-GB"/>
        </w:rPr>
        <w:t xml:space="preserve"> </w:t>
      </w:r>
    </w:p>
    <w:p w:rsidR="000F1A4D" w:rsidRPr="00714667" w:rsidRDefault="000F1A4D" w:rsidP="000F1A4D"/>
    <w:p w:rsidR="00E153E5" w:rsidRPr="00714667" w:rsidRDefault="00E434E8" w:rsidP="007C0914">
      <w:pPr>
        <w:pStyle w:val="Heading1"/>
        <w:rPr>
          <w:rFonts w:ascii="Arial" w:hAnsi="Arial" w:cs="Arial"/>
          <w:sz w:val="24"/>
          <w:szCs w:val="24"/>
        </w:rPr>
      </w:pPr>
      <w:r w:rsidRPr="00714667">
        <w:rPr>
          <w:rFonts w:ascii="Arial" w:hAnsi="Arial" w:cs="Arial"/>
          <w:sz w:val="24"/>
          <w:szCs w:val="24"/>
        </w:rPr>
        <w:t>Key Relationships</w:t>
      </w:r>
      <w:r w:rsidRPr="00714667">
        <w:rPr>
          <w:rFonts w:ascii="Arial" w:hAnsi="Arial" w:cs="Arial"/>
          <w:sz w:val="24"/>
          <w:szCs w:val="24"/>
        </w:rPr>
        <w:tab/>
      </w:r>
    </w:p>
    <w:p w:rsidR="00E434E8" w:rsidRPr="00714667" w:rsidRDefault="00E434E8" w:rsidP="007C0914">
      <w:r w:rsidRPr="00714667">
        <w:t>Key relationships a</w:t>
      </w:r>
      <w:r w:rsidR="00356084" w:rsidRPr="00714667">
        <w:t xml:space="preserve">re with the Board of </w:t>
      </w:r>
      <w:r w:rsidR="0004187F" w:rsidRPr="00714667">
        <w:t>Trustees</w:t>
      </w:r>
      <w:r w:rsidR="00356084" w:rsidRPr="00714667">
        <w:t xml:space="preserve"> </w:t>
      </w:r>
      <w:r w:rsidR="00F9427D" w:rsidRPr="00714667">
        <w:t xml:space="preserve">and </w:t>
      </w:r>
      <w:r w:rsidR="0030284D">
        <w:t>Chief Executive Officer</w:t>
      </w:r>
      <w:r w:rsidRPr="00714667">
        <w:t>.</w:t>
      </w:r>
    </w:p>
    <w:p w:rsidR="00E434E8" w:rsidRPr="00714667" w:rsidRDefault="00E434E8" w:rsidP="007C0914"/>
    <w:p w:rsidR="004969D4" w:rsidRPr="00714667" w:rsidRDefault="004969D4" w:rsidP="007C0914"/>
    <w:sectPr w:rsidR="004969D4" w:rsidRPr="00714667" w:rsidSect="004A634B">
      <w:headerReference w:type="default" r:id="rId7"/>
      <w:footerReference w:type="default" r:id="rId8"/>
      <w:pgSz w:w="12240" w:h="15840"/>
      <w:pgMar w:top="1701" w:right="1183" w:bottom="1440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F76" w:rsidRDefault="00F70F76" w:rsidP="007C0914">
      <w:r>
        <w:separator/>
      </w:r>
    </w:p>
  </w:endnote>
  <w:endnote w:type="continuationSeparator" w:id="0">
    <w:p w:rsidR="00F70F76" w:rsidRDefault="00F70F76" w:rsidP="007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667" w:rsidRDefault="00714667" w:rsidP="00AD7B46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D7B46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AD7B46">
      <w:rPr>
        <w:noProof/>
      </w:rPr>
      <w:t>2</w:t>
    </w:r>
    <w:r>
      <w:fldChar w:fldCharType="end"/>
    </w:r>
  </w:p>
  <w:p w:rsidR="00714667" w:rsidRDefault="00714667" w:rsidP="007C0914">
    <w:pPr>
      <w:pStyle w:val="Footer"/>
    </w:pPr>
  </w:p>
  <w:p w:rsidR="00AD7B46" w:rsidRPr="00AD7B46" w:rsidRDefault="00AD7B46" w:rsidP="007C0914">
    <w:pPr>
      <w:pStyle w:val="Footer"/>
      <w:rPr>
        <w:rFonts w:ascii="Arial" w:hAnsi="Arial" w:cs="Arial"/>
        <w:sz w:val="20"/>
        <w:szCs w:val="20"/>
      </w:rPr>
    </w:pPr>
    <w:r w:rsidRPr="00AD7B46">
      <w:rPr>
        <w:rFonts w:ascii="Arial" w:hAnsi="Arial" w:cs="Arial"/>
        <w:sz w:val="20"/>
        <w:szCs w:val="20"/>
      </w:rPr>
      <w:t>Vers</w:t>
    </w:r>
    <w:r w:rsidR="009F2ADF">
      <w:rPr>
        <w:rFonts w:ascii="Arial" w:hAnsi="Arial" w:cs="Arial"/>
        <w:sz w:val="20"/>
        <w:szCs w:val="20"/>
      </w:rPr>
      <w:t>ion</w:t>
    </w:r>
    <w:r w:rsidR="003A291F">
      <w:rPr>
        <w:rFonts w:ascii="Arial" w:hAnsi="Arial" w:cs="Arial"/>
        <w:sz w:val="20"/>
        <w:szCs w:val="20"/>
      </w:rPr>
      <w:t xml:space="preserve"> 1.</w:t>
    </w:r>
    <w:r w:rsidR="0030284D">
      <w:rPr>
        <w:rFonts w:ascii="Arial" w:hAnsi="Arial" w:cs="Arial"/>
        <w:sz w:val="20"/>
        <w:szCs w:val="20"/>
      </w:rPr>
      <w:t>4</w:t>
    </w:r>
    <w:r w:rsidR="003A291F">
      <w:rPr>
        <w:rFonts w:ascii="Arial" w:hAnsi="Arial" w:cs="Arial"/>
        <w:sz w:val="20"/>
        <w:szCs w:val="20"/>
      </w:rPr>
      <w:t xml:space="preserve"> November 202</w:t>
    </w:r>
    <w:r w:rsidR="0030284D"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F76" w:rsidRDefault="00F70F76" w:rsidP="007C0914">
      <w:r>
        <w:separator/>
      </w:r>
    </w:p>
  </w:footnote>
  <w:footnote w:type="continuationSeparator" w:id="0">
    <w:p w:rsidR="00F70F76" w:rsidRDefault="00F70F76" w:rsidP="007C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667" w:rsidRPr="004A634B" w:rsidRDefault="00714667" w:rsidP="004A634B">
    <w:pPr>
      <w:jc w:val="center"/>
      <w:rPr>
        <w:rStyle w:val="Strong"/>
        <w:b w:val="0"/>
      </w:rPr>
    </w:pPr>
    <w:r>
      <w:rPr>
        <w:rStyle w:val="Strong"/>
      </w:rPr>
      <w:t xml:space="preserve">                                                                                 </w:t>
    </w:r>
  </w:p>
  <w:p w:rsidR="00714667" w:rsidRDefault="00D700ED" w:rsidP="003A291F">
    <w:pPr>
      <w:ind w:left="0" w:hanging="1134"/>
      <w:rPr>
        <w:rStyle w:val="Strong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-6985</wp:posOffset>
          </wp:positionV>
          <wp:extent cx="1752600" cy="1000125"/>
          <wp:effectExtent l="0" t="0" r="0" b="0"/>
          <wp:wrapTight wrapText="bothSides">
            <wp:wrapPolygon edited="0">
              <wp:start x="0" y="0"/>
              <wp:lineTo x="0" y="21394"/>
              <wp:lineTo x="21365" y="21394"/>
              <wp:lineTo x="21365" y="0"/>
              <wp:lineTo x="0" y="0"/>
            </wp:wrapPolygon>
          </wp:wrapTight>
          <wp:docPr id="3" name="Picture 102" descr="A picture containing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A picture containing drawing,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91F" w:rsidRDefault="003A291F" w:rsidP="00035103">
    <w:pPr>
      <w:jc w:val="center"/>
      <w:rPr>
        <w:rStyle w:val="Strong"/>
      </w:rPr>
    </w:pPr>
  </w:p>
  <w:p w:rsidR="003A291F" w:rsidRDefault="003A291F" w:rsidP="00035103">
    <w:pPr>
      <w:jc w:val="center"/>
      <w:rPr>
        <w:rStyle w:val="Strong"/>
      </w:rPr>
    </w:pPr>
  </w:p>
  <w:p w:rsidR="00714667" w:rsidRDefault="00714667" w:rsidP="00035103">
    <w:pPr>
      <w:jc w:val="center"/>
      <w:rPr>
        <w:rStyle w:val="Strong"/>
      </w:rPr>
    </w:pPr>
    <w:r>
      <w:rPr>
        <w:rStyle w:val="Strong"/>
      </w:rPr>
      <w:t xml:space="preserve">Governance </w:t>
    </w:r>
    <w:r w:rsidRPr="00035103">
      <w:rPr>
        <w:rStyle w:val="Strong"/>
      </w:rPr>
      <w:t>Committee</w:t>
    </w:r>
    <w:r>
      <w:rPr>
        <w:rStyle w:val="Strong"/>
      </w:rPr>
      <w:t xml:space="preserve">      </w:t>
    </w:r>
  </w:p>
  <w:p w:rsidR="00714667" w:rsidRPr="004A634B" w:rsidRDefault="00714667" w:rsidP="004A634B">
    <w:pPr>
      <w:pStyle w:val="Header"/>
      <w:jc w:val="center"/>
      <w:rPr>
        <w:b/>
        <w:bCs/>
      </w:rPr>
    </w:pPr>
    <w:r>
      <w:rPr>
        <w:rStyle w:val="Strong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912"/>
    <w:multiLevelType w:val="hybridMultilevel"/>
    <w:tmpl w:val="C7DCC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E2E"/>
    <w:multiLevelType w:val="hybridMultilevel"/>
    <w:tmpl w:val="048EFF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21D2"/>
    <w:multiLevelType w:val="hybridMultilevel"/>
    <w:tmpl w:val="7AFA4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69B"/>
    <w:multiLevelType w:val="hybridMultilevel"/>
    <w:tmpl w:val="9DB84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7500"/>
    <w:multiLevelType w:val="hybridMultilevel"/>
    <w:tmpl w:val="8C449D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D5FB6"/>
    <w:multiLevelType w:val="hybridMultilevel"/>
    <w:tmpl w:val="100E2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3FA"/>
    <w:multiLevelType w:val="hybridMultilevel"/>
    <w:tmpl w:val="72662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625EDA"/>
    <w:multiLevelType w:val="hybridMultilevel"/>
    <w:tmpl w:val="4D4A9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064A9"/>
    <w:multiLevelType w:val="hybridMultilevel"/>
    <w:tmpl w:val="03588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E47FA"/>
    <w:multiLevelType w:val="hybridMultilevel"/>
    <w:tmpl w:val="2CE00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767BC5"/>
    <w:multiLevelType w:val="hybridMultilevel"/>
    <w:tmpl w:val="78FE1D48"/>
    <w:lvl w:ilvl="0" w:tplc="C230673E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46D87"/>
    <w:multiLevelType w:val="hybridMultilevel"/>
    <w:tmpl w:val="3DD8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831603">
    <w:abstractNumId w:val="5"/>
  </w:num>
  <w:num w:numId="2" w16cid:durableId="2045209473">
    <w:abstractNumId w:val="3"/>
  </w:num>
  <w:num w:numId="3" w16cid:durableId="8993394">
    <w:abstractNumId w:val="8"/>
  </w:num>
  <w:num w:numId="4" w16cid:durableId="1907717271">
    <w:abstractNumId w:val="2"/>
  </w:num>
  <w:num w:numId="5" w16cid:durableId="478572017">
    <w:abstractNumId w:val="1"/>
  </w:num>
  <w:num w:numId="6" w16cid:durableId="378938269">
    <w:abstractNumId w:val="10"/>
  </w:num>
  <w:num w:numId="7" w16cid:durableId="2098282533">
    <w:abstractNumId w:val="9"/>
  </w:num>
  <w:num w:numId="8" w16cid:durableId="176358243">
    <w:abstractNumId w:val="4"/>
  </w:num>
  <w:num w:numId="9" w16cid:durableId="653680548">
    <w:abstractNumId w:val="6"/>
  </w:num>
  <w:num w:numId="10" w16cid:durableId="1568227343">
    <w:abstractNumId w:val="0"/>
  </w:num>
  <w:num w:numId="11" w16cid:durableId="1203710292">
    <w:abstractNumId w:val="11"/>
  </w:num>
  <w:num w:numId="12" w16cid:durableId="1211499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D4"/>
    <w:rsid w:val="00006CFF"/>
    <w:rsid w:val="00034BFC"/>
    <w:rsid w:val="00035103"/>
    <w:rsid w:val="0004187F"/>
    <w:rsid w:val="000513CB"/>
    <w:rsid w:val="00070A8A"/>
    <w:rsid w:val="000B3D92"/>
    <w:rsid w:val="000B63CB"/>
    <w:rsid w:val="000C0BAE"/>
    <w:rsid w:val="000F1A4D"/>
    <w:rsid w:val="000F38CB"/>
    <w:rsid w:val="00187619"/>
    <w:rsid w:val="00192996"/>
    <w:rsid w:val="001B7CCB"/>
    <w:rsid w:val="001D0954"/>
    <w:rsid w:val="001D64EA"/>
    <w:rsid w:val="001E143E"/>
    <w:rsid w:val="001F1411"/>
    <w:rsid w:val="00203544"/>
    <w:rsid w:val="00276521"/>
    <w:rsid w:val="002B2EC8"/>
    <w:rsid w:val="002D27FC"/>
    <w:rsid w:val="002E6988"/>
    <w:rsid w:val="0030284D"/>
    <w:rsid w:val="003503F1"/>
    <w:rsid w:val="00356084"/>
    <w:rsid w:val="00356C98"/>
    <w:rsid w:val="00394226"/>
    <w:rsid w:val="003A291F"/>
    <w:rsid w:val="00412267"/>
    <w:rsid w:val="004150DB"/>
    <w:rsid w:val="0043085B"/>
    <w:rsid w:val="00474443"/>
    <w:rsid w:val="00485F49"/>
    <w:rsid w:val="004969D4"/>
    <w:rsid w:val="004A634B"/>
    <w:rsid w:val="004A6B99"/>
    <w:rsid w:val="004D2685"/>
    <w:rsid w:val="004E1649"/>
    <w:rsid w:val="004F3FA6"/>
    <w:rsid w:val="004F74DE"/>
    <w:rsid w:val="0056451C"/>
    <w:rsid w:val="00585152"/>
    <w:rsid w:val="005B5077"/>
    <w:rsid w:val="005C31EC"/>
    <w:rsid w:val="006B1AB8"/>
    <w:rsid w:val="006D7F6D"/>
    <w:rsid w:val="006F3FF5"/>
    <w:rsid w:val="00714667"/>
    <w:rsid w:val="007457AD"/>
    <w:rsid w:val="0074631F"/>
    <w:rsid w:val="00746CB3"/>
    <w:rsid w:val="00751495"/>
    <w:rsid w:val="007763C1"/>
    <w:rsid w:val="007B29DD"/>
    <w:rsid w:val="007C0914"/>
    <w:rsid w:val="007E0CB0"/>
    <w:rsid w:val="00822B25"/>
    <w:rsid w:val="00841D7E"/>
    <w:rsid w:val="00872564"/>
    <w:rsid w:val="0089290A"/>
    <w:rsid w:val="008A5449"/>
    <w:rsid w:val="008A606E"/>
    <w:rsid w:val="008B3E32"/>
    <w:rsid w:val="008D2E82"/>
    <w:rsid w:val="008E63CE"/>
    <w:rsid w:val="008F1DCC"/>
    <w:rsid w:val="008F7F02"/>
    <w:rsid w:val="00904409"/>
    <w:rsid w:val="00924F84"/>
    <w:rsid w:val="00934F61"/>
    <w:rsid w:val="00940293"/>
    <w:rsid w:val="00947CE5"/>
    <w:rsid w:val="009A132E"/>
    <w:rsid w:val="009B1930"/>
    <w:rsid w:val="009F2ADF"/>
    <w:rsid w:val="00A13447"/>
    <w:rsid w:val="00A24736"/>
    <w:rsid w:val="00A310C2"/>
    <w:rsid w:val="00A42DFD"/>
    <w:rsid w:val="00A7070B"/>
    <w:rsid w:val="00A948A6"/>
    <w:rsid w:val="00AA17D4"/>
    <w:rsid w:val="00AC6074"/>
    <w:rsid w:val="00AD7B46"/>
    <w:rsid w:val="00AE27C1"/>
    <w:rsid w:val="00B209F9"/>
    <w:rsid w:val="00B2496C"/>
    <w:rsid w:val="00B94BF3"/>
    <w:rsid w:val="00BC7B4A"/>
    <w:rsid w:val="00BD2B62"/>
    <w:rsid w:val="00BD4802"/>
    <w:rsid w:val="00C06059"/>
    <w:rsid w:val="00C24931"/>
    <w:rsid w:val="00C46BE3"/>
    <w:rsid w:val="00C471DF"/>
    <w:rsid w:val="00C51766"/>
    <w:rsid w:val="00C84FAA"/>
    <w:rsid w:val="00C8767F"/>
    <w:rsid w:val="00CA4DD5"/>
    <w:rsid w:val="00D35EE8"/>
    <w:rsid w:val="00D5202F"/>
    <w:rsid w:val="00D700ED"/>
    <w:rsid w:val="00DB5929"/>
    <w:rsid w:val="00DE315B"/>
    <w:rsid w:val="00DE7013"/>
    <w:rsid w:val="00E0745A"/>
    <w:rsid w:val="00E153E5"/>
    <w:rsid w:val="00E434E8"/>
    <w:rsid w:val="00E6729B"/>
    <w:rsid w:val="00E72197"/>
    <w:rsid w:val="00E87CF9"/>
    <w:rsid w:val="00EB0423"/>
    <w:rsid w:val="00EB7AB2"/>
    <w:rsid w:val="00ED697B"/>
    <w:rsid w:val="00F03825"/>
    <w:rsid w:val="00F13CEC"/>
    <w:rsid w:val="00F31B7B"/>
    <w:rsid w:val="00F332C2"/>
    <w:rsid w:val="00F33C5D"/>
    <w:rsid w:val="00F61DF2"/>
    <w:rsid w:val="00F70F76"/>
    <w:rsid w:val="00F77A0F"/>
    <w:rsid w:val="00F9427D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B56C563-34B8-40D7-B2F0-F5C01823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914"/>
    <w:pPr>
      <w:ind w:left="36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153E5"/>
    <w:pPr>
      <w:keepNext/>
      <w:numPr>
        <w:numId w:val="6"/>
      </w:num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969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69D4"/>
    <w:pPr>
      <w:tabs>
        <w:tab w:val="center" w:pos="4320"/>
        <w:tab w:val="right" w:pos="8640"/>
      </w:tabs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rsid w:val="00EB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3CE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B3E3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E153E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035103"/>
    <w:rPr>
      <w:b/>
      <w:bCs/>
    </w:rPr>
  </w:style>
  <w:style w:type="character" w:styleId="Emphasis">
    <w:name w:val="Emphasis"/>
    <w:qFormat/>
    <w:rsid w:val="00714667"/>
    <w:rPr>
      <w:i/>
      <w:iCs/>
    </w:rPr>
  </w:style>
  <w:style w:type="character" w:styleId="CommentReference">
    <w:name w:val="annotation reference"/>
    <w:rsid w:val="003A2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91F"/>
    <w:rPr>
      <w:sz w:val="20"/>
      <w:szCs w:val="20"/>
    </w:rPr>
  </w:style>
  <w:style w:type="character" w:customStyle="1" w:styleId="CommentTextChar">
    <w:name w:val="Comment Text Char"/>
    <w:link w:val="CommentText"/>
    <w:rsid w:val="003A291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91F"/>
    <w:rPr>
      <w:b/>
      <w:bCs/>
    </w:rPr>
  </w:style>
  <w:style w:type="character" w:customStyle="1" w:styleId="CommentSubjectChar">
    <w:name w:val="Comment Subject Char"/>
    <w:link w:val="CommentSubject"/>
    <w:rsid w:val="003A291F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3A291F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</dc:title>
  <dc:subject/>
  <dc:creator>andi.griffiths</dc:creator>
  <cp:keywords/>
  <cp:lastModifiedBy>Michele Scattergood</cp:lastModifiedBy>
  <cp:revision>2</cp:revision>
  <cp:lastPrinted>2022-11-03T21:27:00Z</cp:lastPrinted>
  <dcterms:created xsi:type="dcterms:W3CDTF">2023-09-29T15:50:00Z</dcterms:created>
  <dcterms:modified xsi:type="dcterms:W3CDTF">2023-09-29T15:50:00Z</dcterms:modified>
</cp:coreProperties>
</file>