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ECA98" w14:textId="77777777" w:rsidR="001358B0" w:rsidRDefault="001358B0" w:rsidP="001358B0">
      <w:pPr>
        <w:rPr>
          <w:b/>
          <w:color w:val="365F91" w:themeColor="accent1" w:themeShade="BF"/>
        </w:rPr>
      </w:pPr>
      <w:r>
        <w:rPr>
          <w:b/>
          <w:noProof/>
          <w:color w:val="365F91" w:themeColor="accent1" w:themeShade="BF"/>
        </w:rPr>
        <w:drawing>
          <wp:anchor distT="0" distB="0" distL="114300" distR="114300" simplePos="0" relativeHeight="251659264" behindDoc="0" locked="0" layoutInCell="1" allowOverlap="1" wp14:anchorId="59C8A12C" wp14:editId="00DC05E8">
            <wp:simplePos x="0" y="0"/>
            <wp:positionH relativeFrom="column">
              <wp:posOffset>4248150</wp:posOffset>
            </wp:positionH>
            <wp:positionV relativeFrom="paragraph">
              <wp:posOffset>-771525</wp:posOffset>
            </wp:positionV>
            <wp:extent cx="2199013" cy="1203960"/>
            <wp:effectExtent l="0" t="0" r="0" b="0"/>
            <wp:wrapNone/>
            <wp:docPr id="2" name="Picture 2" descr="C:\Users\CharlieMiller\AppData\Local\Microsoft\Windows\INetCache\Content.MSO\2EE34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Miller\AppData\Local\Microsoft\Windows\INetCache\Content.MSO\2EE34CD7.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13" cy="1203960"/>
                    </a:xfrm>
                    <a:prstGeom prst="rect">
                      <a:avLst/>
                    </a:prstGeom>
                    <a:noFill/>
                    <a:ln>
                      <a:noFill/>
                    </a:ln>
                  </pic:spPr>
                </pic:pic>
              </a:graphicData>
            </a:graphic>
          </wp:anchor>
        </w:drawing>
      </w:r>
    </w:p>
    <w:p w14:paraId="3E5EFDAA" w14:textId="77777777" w:rsidR="001358B0" w:rsidRDefault="001358B0" w:rsidP="001358B0">
      <w:pPr>
        <w:rPr>
          <w:b/>
          <w:color w:val="365F91" w:themeColor="accent1" w:themeShade="BF"/>
        </w:rPr>
      </w:pPr>
    </w:p>
    <w:p w14:paraId="5D36316E" w14:textId="4A17CEC4" w:rsidR="001358B0" w:rsidRPr="00FB0645" w:rsidRDefault="001358B0" w:rsidP="001358B0">
      <w:pPr>
        <w:rPr>
          <w:b/>
          <w:color w:val="365F91" w:themeColor="accent1" w:themeShade="BF"/>
        </w:rPr>
      </w:pPr>
      <w:r>
        <w:rPr>
          <w:b/>
          <w:color w:val="365F91" w:themeColor="accent1" w:themeShade="BF"/>
        </w:rPr>
        <w:t>Trustee Recruitment Policy</w:t>
      </w:r>
    </w:p>
    <w:p w14:paraId="03133E87" w14:textId="77777777" w:rsidR="001358B0" w:rsidRDefault="001358B0" w:rsidP="001358B0"/>
    <w:p w14:paraId="1452744C" w14:textId="77777777" w:rsidR="001358B0" w:rsidRPr="00FB0645" w:rsidRDefault="001358B0" w:rsidP="001358B0">
      <w:pPr>
        <w:jc w:val="center"/>
        <w:rPr>
          <w:b/>
          <w:color w:val="365F91" w:themeColor="accent1" w:themeShade="BF"/>
        </w:rPr>
      </w:pPr>
      <w:r w:rsidRPr="00FB0645">
        <w:rPr>
          <w:b/>
          <w:color w:val="365F91" w:themeColor="accent1" w:themeShade="BF"/>
        </w:rPr>
        <w:t>Policy Control Page</w:t>
      </w:r>
    </w:p>
    <w:p w14:paraId="3A444461" w14:textId="77777777" w:rsidR="001358B0" w:rsidRDefault="001358B0" w:rsidP="001358B0">
      <w:pPr>
        <w:jc w:val="center"/>
      </w:pPr>
    </w:p>
    <w:tbl>
      <w:tblPr>
        <w:tblStyle w:val="TableGrid"/>
        <w:tblW w:w="0" w:type="auto"/>
        <w:tblLook w:val="04A0" w:firstRow="1" w:lastRow="0" w:firstColumn="1" w:lastColumn="0" w:noHBand="0" w:noVBand="1"/>
      </w:tblPr>
      <w:tblGrid>
        <w:gridCol w:w="2830"/>
        <w:gridCol w:w="6186"/>
      </w:tblGrid>
      <w:tr w:rsidR="001358B0" w14:paraId="5A35689B" w14:textId="77777777" w:rsidTr="001557C6">
        <w:tc>
          <w:tcPr>
            <w:tcW w:w="2830" w:type="dxa"/>
          </w:tcPr>
          <w:p w14:paraId="680013A1" w14:textId="77777777" w:rsidR="001358B0" w:rsidRDefault="001358B0" w:rsidP="001557C6">
            <w:pPr>
              <w:rPr>
                <w:rFonts w:ascii="Arial" w:hAnsi="Arial" w:cs="Arial"/>
                <w:sz w:val="28"/>
              </w:rPr>
            </w:pPr>
            <w:r>
              <w:rPr>
                <w:rFonts w:ascii="Arial" w:hAnsi="Arial" w:cs="Arial"/>
                <w:sz w:val="28"/>
              </w:rPr>
              <w:t>Responsible Person</w:t>
            </w:r>
          </w:p>
        </w:tc>
        <w:tc>
          <w:tcPr>
            <w:tcW w:w="6186" w:type="dxa"/>
          </w:tcPr>
          <w:p w14:paraId="65FDF1E2" w14:textId="77777777" w:rsidR="001358B0" w:rsidRDefault="001358B0" w:rsidP="001557C6">
            <w:pPr>
              <w:rPr>
                <w:rFonts w:ascii="Arial" w:hAnsi="Arial" w:cs="Arial"/>
                <w:sz w:val="28"/>
              </w:rPr>
            </w:pPr>
            <w:r>
              <w:rPr>
                <w:rFonts w:ascii="Arial" w:hAnsi="Arial" w:cs="Arial"/>
                <w:sz w:val="28"/>
              </w:rPr>
              <w:t>CEO</w:t>
            </w:r>
          </w:p>
        </w:tc>
      </w:tr>
      <w:tr w:rsidR="001358B0" w14:paraId="779BFCD2" w14:textId="77777777" w:rsidTr="001557C6">
        <w:tc>
          <w:tcPr>
            <w:tcW w:w="2830" w:type="dxa"/>
          </w:tcPr>
          <w:p w14:paraId="4DFAE5AA" w14:textId="77777777" w:rsidR="001358B0" w:rsidRDefault="001358B0" w:rsidP="001557C6">
            <w:pPr>
              <w:rPr>
                <w:rFonts w:ascii="Arial" w:hAnsi="Arial" w:cs="Arial"/>
                <w:sz w:val="28"/>
              </w:rPr>
            </w:pPr>
            <w:r>
              <w:rPr>
                <w:rFonts w:ascii="Arial" w:hAnsi="Arial" w:cs="Arial"/>
                <w:sz w:val="28"/>
              </w:rPr>
              <w:t>Approval Date</w:t>
            </w:r>
          </w:p>
        </w:tc>
        <w:tc>
          <w:tcPr>
            <w:tcW w:w="6186" w:type="dxa"/>
          </w:tcPr>
          <w:p w14:paraId="2D497F0E" w14:textId="42DDC8C2" w:rsidR="001358B0" w:rsidRDefault="001358B0" w:rsidP="001557C6">
            <w:pPr>
              <w:rPr>
                <w:rFonts w:ascii="Arial" w:hAnsi="Arial" w:cs="Arial"/>
                <w:sz w:val="28"/>
              </w:rPr>
            </w:pPr>
            <w:r>
              <w:rPr>
                <w:rFonts w:ascii="Arial" w:hAnsi="Arial" w:cs="Arial"/>
                <w:sz w:val="28"/>
              </w:rPr>
              <w:t>April 2021</w:t>
            </w:r>
          </w:p>
        </w:tc>
      </w:tr>
      <w:tr w:rsidR="001358B0" w14:paraId="7AD7BD2B" w14:textId="77777777" w:rsidTr="001557C6">
        <w:tc>
          <w:tcPr>
            <w:tcW w:w="2830" w:type="dxa"/>
          </w:tcPr>
          <w:p w14:paraId="363F0218" w14:textId="77777777" w:rsidR="001358B0" w:rsidRDefault="001358B0" w:rsidP="001557C6">
            <w:pPr>
              <w:rPr>
                <w:rFonts w:ascii="Arial" w:hAnsi="Arial" w:cs="Arial"/>
                <w:sz w:val="28"/>
              </w:rPr>
            </w:pPr>
            <w:r>
              <w:rPr>
                <w:rFonts w:ascii="Arial" w:hAnsi="Arial" w:cs="Arial"/>
                <w:sz w:val="28"/>
              </w:rPr>
              <w:t>Review Due</w:t>
            </w:r>
          </w:p>
        </w:tc>
        <w:tc>
          <w:tcPr>
            <w:tcW w:w="6186" w:type="dxa"/>
          </w:tcPr>
          <w:p w14:paraId="2A402BA9" w14:textId="4C723CC5" w:rsidR="001358B0" w:rsidRDefault="001358B0" w:rsidP="001557C6">
            <w:pPr>
              <w:rPr>
                <w:rFonts w:ascii="Arial" w:hAnsi="Arial" w:cs="Arial"/>
                <w:sz w:val="28"/>
              </w:rPr>
            </w:pPr>
            <w:r>
              <w:rPr>
                <w:rFonts w:ascii="Arial" w:hAnsi="Arial" w:cs="Arial"/>
                <w:sz w:val="28"/>
              </w:rPr>
              <w:t>April 2023</w:t>
            </w:r>
          </w:p>
        </w:tc>
      </w:tr>
      <w:tr w:rsidR="001358B0" w14:paraId="627EFFE3" w14:textId="77777777" w:rsidTr="001557C6">
        <w:tc>
          <w:tcPr>
            <w:tcW w:w="2830" w:type="dxa"/>
          </w:tcPr>
          <w:p w14:paraId="41812577" w14:textId="77777777" w:rsidR="001358B0" w:rsidRDefault="001358B0" w:rsidP="001557C6">
            <w:pPr>
              <w:rPr>
                <w:rFonts w:ascii="Arial" w:hAnsi="Arial" w:cs="Arial"/>
                <w:sz w:val="28"/>
              </w:rPr>
            </w:pPr>
            <w:r>
              <w:rPr>
                <w:rFonts w:ascii="Arial" w:hAnsi="Arial" w:cs="Arial"/>
                <w:sz w:val="28"/>
              </w:rPr>
              <w:t>Approved By</w:t>
            </w:r>
          </w:p>
        </w:tc>
        <w:tc>
          <w:tcPr>
            <w:tcW w:w="6186" w:type="dxa"/>
          </w:tcPr>
          <w:p w14:paraId="1287100A" w14:textId="55922868" w:rsidR="001358B0" w:rsidRDefault="001358B0" w:rsidP="001557C6">
            <w:pPr>
              <w:rPr>
                <w:rFonts w:ascii="Arial" w:hAnsi="Arial" w:cs="Arial"/>
                <w:sz w:val="28"/>
              </w:rPr>
            </w:pPr>
            <w:r>
              <w:rPr>
                <w:rFonts w:ascii="Arial" w:hAnsi="Arial" w:cs="Arial"/>
                <w:sz w:val="28"/>
              </w:rPr>
              <w:t>Trustees</w:t>
            </w:r>
          </w:p>
        </w:tc>
      </w:tr>
      <w:tr w:rsidR="001358B0" w14:paraId="4F58B26D" w14:textId="77777777" w:rsidTr="001557C6">
        <w:tc>
          <w:tcPr>
            <w:tcW w:w="2830" w:type="dxa"/>
          </w:tcPr>
          <w:p w14:paraId="3D2B8068" w14:textId="77777777" w:rsidR="001358B0" w:rsidRDefault="001358B0" w:rsidP="001557C6">
            <w:pPr>
              <w:rPr>
                <w:rFonts w:ascii="Arial" w:hAnsi="Arial" w:cs="Arial"/>
                <w:sz w:val="28"/>
              </w:rPr>
            </w:pPr>
            <w:r>
              <w:rPr>
                <w:rFonts w:ascii="Arial" w:hAnsi="Arial" w:cs="Arial"/>
                <w:sz w:val="28"/>
              </w:rPr>
              <w:t>Status</w:t>
            </w:r>
          </w:p>
        </w:tc>
        <w:tc>
          <w:tcPr>
            <w:tcW w:w="6186" w:type="dxa"/>
          </w:tcPr>
          <w:p w14:paraId="48E9E08F" w14:textId="1F3BDDE8" w:rsidR="001358B0" w:rsidRDefault="001358B0" w:rsidP="001557C6">
            <w:pPr>
              <w:rPr>
                <w:rFonts w:ascii="Arial" w:hAnsi="Arial" w:cs="Arial"/>
                <w:sz w:val="28"/>
              </w:rPr>
            </w:pPr>
            <w:r>
              <w:rPr>
                <w:rFonts w:ascii="Arial" w:hAnsi="Arial" w:cs="Arial"/>
                <w:sz w:val="28"/>
              </w:rPr>
              <w:t>Approved</w:t>
            </w:r>
          </w:p>
        </w:tc>
      </w:tr>
    </w:tbl>
    <w:p w14:paraId="18C1EFB1" w14:textId="77777777" w:rsidR="001358B0" w:rsidRDefault="001358B0" w:rsidP="001358B0">
      <w:pPr>
        <w:jc w:val="center"/>
      </w:pPr>
    </w:p>
    <w:tbl>
      <w:tblPr>
        <w:tblStyle w:val="TableGrid"/>
        <w:tblW w:w="0" w:type="auto"/>
        <w:tblLook w:val="04A0" w:firstRow="1" w:lastRow="0" w:firstColumn="1" w:lastColumn="0" w:noHBand="0" w:noVBand="1"/>
      </w:tblPr>
      <w:tblGrid>
        <w:gridCol w:w="3005"/>
        <w:gridCol w:w="1668"/>
        <w:gridCol w:w="4343"/>
      </w:tblGrid>
      <w:tr w:rsidR="001358B0" w14:paraId="6BACBFBA" w14:textId="77777777" w:rsidTr="001557C6">
        <w:tc>
          <w:tcPr>
            <w:tcW w:w="3005" w:type="dxa"/>
          </w:tcPr>
          <w:p w14:paraId="631528F3" w14:textId="77777777" w:rsidR="001358B0" w:rsidRDefault="001358B0" w:rsidP="001557C6">
            <w:pPr>
              <w:rPr>
                <w:rFonts w:ascii="Arial" w:hAnsi="Arial" w:cs="Arial"/>
                <w:sz w:val="28"/>
              </w:rPr>
            </w:pPr>
            <w:r>
              <w:rPr>
                <w:rFonts w:ascii="Arial" w:hAnsi="Arial" w:cs="Arial"/>
                <w:sz w:val="28"/>
              </w:rPr>
              <w:t>Date</w:t>
            </w:r>
          </w:p>
        </w:tc>
        <w:tc>
          <w:tcPr>
            <w:tcW w:w="1668" w:type="dxa"/>
          </w:tcPr>
          <w:p w14:paraId="3DD0CF57" w14:textId="77777777" w:rsidR="001358B0" w:rsidRDefault="001358B0" w:rsidP="001557C6">
            <w:pPr>
              <w:rPr>
                <w:rFonts w:ascii="Arial" w:hAnsi="Arial" w:cs="Arial"/>
                <w:sz w:val="28"/>
              </w:rPr>
            </w:pPr>
            <w:r>
              <w:rPr>
                <w:rFonts w:ascii="Arial" w:hAnsi="Arial" w:cs="Arial"/>
                <w:sz w:val="28"/>
              </w:rPr>
              <w:t>Version</w:t>
            </w:r>
          </w:p>
        </w:tc>
        <w:tc>
          <w:tcPr>
            <w:tcW w:w="4343" w:type="dxa"/>
          </w:tcPr>
          <w:p w14:paraId="0EAF0703" w14:textId="77777777" w:rsidR="001358B0" w:rsidRDefault="001358B0" w:rsidP="001557C6">
            <w:pPr>
              <w:rPr>
                <w:rFonts w:ascii="Arial" w:hAnsi="Arial" w:cs="Arial"/>
                <w:sz w:val="28"/>
              </w:rPr>
            </w:pPr>
            <w:r>
              <w:rPr>
                <w:rFonts w:ascii="Arial" w:hAnsi="Arial" w:cs="Arial"/>
                <w:sz w:val="28"/>
              </w:rPr>
              <w:t>Update</w:t>
            </w:r>
          </w:p>
        </w:tc>
      </w:tr>
      <w:tr w:rsidR="001358B0" w14:paraId="696807B5" w14:textId="77777777" w:rsidTr="001557C6">
        <w:tc>
          <w:tcPr>
            <w:tcW w:w="3005" w:type="dxa"/>
          </w:tcPr>
          <w:p w14:paraId="5D4420E7" w14:textId="77777777" w:rsidR="001358B0" w:rsidRDefault="001358B0" w:rsidP="001557C6">
            <w:pPr>
              <w:rPr>
                <w:rFonts w:ascii="Arial" w:hAnsi="Arial" w:cs="Arial"/>
                <w:sz w:val="28"/>
              </w:rPr>
            </w:pPr>
          </w:p>
        </w:tc>
        <w:tc>
          <w:tcPr>
            <w:tcW w:w="1668" w:type="dxa"/>
          </w:tcPr>
          <w:p w14:paraId="19AF3222" w14:textId="77777777" w:rsidR="001358B0" w:rsidRDefault="001358B0" w:rsidP="001557C6">
            <w:pPr>
              <w:rPr>
                <w:rFonts w:ascii="Arial" w:hAnsi="Arial" w:cs="Arial"/>
                <w:sz w:val="28"/>
              </w:rPr>
            </w:pPr>
          </w:p>
        </w:tc>
        <w:tc>
          <w:tcPr>
            <w:tcW w:w="4343" w:type="dxa"/>
          </w:tcPr>
          <w:p w14:paraId="7123119F" w14:textId="77777777" w:rsidR="001358B0" w:rsidRDefault="001358B0" w:rsidP="001557C6">
            <w:pPr>
              <w:rPr>
                <w:rFonts w:ascii="Arial" w:hAnsi="Arial" w:cs="Arial"/>
                <w:sz w:val="28"/>
              </w:rPr>
            </w:pPr>
          </w:p>
        </w:tc>
      </w:tr>
      <w:tr w:rsidR="001358B0" w14:paraId="20D880C4" w14:textId="77777777" w:rsidTr="001557C6">
        <w:tc>
          <w:tcPr>
            <w:tcW w:w="3005" w:type="dxa"/>
          </w:tcPr>
          <w:p w14:paraId="56FC89D6" w14:textId="77777777" w:rsidR="001358B0" w:rsidRDefault="001358B0" w:rsidP="001557C6">
            <w:pPr>
              <w:rPr>
                <w:rFonts w:ascii="Arial" w:hAnsi="Arial" w:cs="Arial"/>
                <w:sz w:val="28"/>
              </w:rPr>
            </w:pPr>
          </w:p>
        </w:tc>
        <w:tc>
          <w:tcPr>
            <w:tcW w:w="1668" w:type="dxa"/>
          </w:tcPr>
          <w:p w14:paraId="3140C3D7" w14:textId="77777777" w:rsidR="001358B0" w:rsidRDefault="001358B0" w:rsidP="001557C6">
            <w:pPr>
              <w:rPr>
                <w:rFonts w:ascii="Arial" w:hAnsi="Arial" w:cs="Arial"/>
                <w:sz w:val="28"/>
              </w:rPr>
            </w:pPr>
          </w:p>
        </w:tc>
        <w:tc>
          <w:tcPr>
            <w:tcW w:w="4343" w:type="dxa"/>
          </w:tcPr>
          <w:p w14:paraId="1CA5D491" w14:textId="77777777" w:rsidR="001358B0" w:rsidRDefault="001358B0" w:rsidP="001557C6">
            <w:pPr>
              <w:rPr>
                <w:rFonts w:ascii="Arial" w:hAnsi="Arial" w:cs="Arial"/>
                <w:sz w:val="28"/>
              </w:rPr>
            </w:pPr>
          </w:p>
        </w:tc>
      </w:tr>
    </w:tbl>
    <w:p w14:paraId="2CD09A9F" w14:textId="77777777" w:rsidR="001358B0" w:rsidRDefault="001358B0" w:rsidP="001358B0">
      <w:pPr>
        <w:jc w:val="center"/>
      </w:pPr>
    </w:p>
    <w:p w14:paraId="05DA5649" w14:textId="77777777" w:rsidR="001358B0" w:rsidRDefault="001358B0" w:rsidP="003D73A7">
      <w:pPr>
        <w:jc w:val="center"/>
        <w:rPr>
          <w:b/>
        </w:rPr>
      </w:pPr>
    </w:p>
    <w:p w14:paraId="6970BF19" w14:textId="77777777" w:rsidR="001358B0" w:rsidRDefault="001358B0" w:rsidP="003D73A7">
      <w:pPr>
        <w:jc w:val="center"/>
        <w:rPr>
          <w:b/>
        </w:rPr>
      </w:pPr>
    </w:p>
    <w:p w14:paraId="3BDEBC55" w14:textId="2A222479" w:rsidR="001833EA" w:rsidRDefault="001833EA" w:rsidP="001833EA">
      <w:pPr>
        <w:pStyle w:val="NoSpacing"/>
        <w:rPr>
          <w:b/>
        </w:rPr>
      </w:pPr>
    </w:p>
    <w:p w14:paraId="7ADDFC50" w14:textId="31257868" w:rsidR="001358B0" w:rsidRDefault="001358B0" w:rsidP="001833EA">
      <w:pPr>
        <w:pStyle w:val="NoSpacing"/>
        <w:rPr>
          <w:b/>
        </w:rPr>
      </w:pPr>
    </w:p>
    <w:p w14:paraId="058904A1" w14:textId="7483359B" w:rsidR="001358B0" w:rsidRDefault="001358B0" w:rsidP="001833EA">
      <w:pPr>
        <w:pStyle w:val="NoSpacing"/>
        <w:rPr>
          <w:b/>
        </w:rPr>
      </w:pPr>
    </w:p>
    <w:p w14:paraId="68AC6016" w14:textId="37EF11AC" w:rsidR="001358B0" w:rsidRDefault="001358B0" w:rsidP="001833EA">
      <w:pPr>
        <w:pStyle w:val="NoSpacing"/>
        <w:rPr>
          <w:b/>
        </w:rPr>
      </w:pPr>
    </w:p>
    <w:p w14:paraId="6985B99D" w14:textId="4A2EBCD6" w:rsidR="001358B0" w:rsidRDefault="001358B0" w:rsidP="001833EA">
      <w:pPr>
        <w:pStyle w:val="NoSpacing"/>
        <w:rPr>
          <w:b/>
        </w:rPr>
      </w:pPr>
    </w:p>
    <w:p w14:paraId="7E0F40CB" w14:textId="2A35B0E5" w:rsidR="001358B0" w:rsidRDefault="001358B0" w:rsidP="001833EA">
      <w:pPr>
        <w:pStyle w:val="NoSpacing"/>
        <w:rPr>
          <w:b/>
        </w:rPr>
      </w:pPr>
    </w:p>
    <w:p w14:paraId="68D0127D" w14:textId="11622253" w:rsidR="001358B0" w:rsidRDefault="001358B0" w:rsidP="001833EA">
      <w:pPr>
        <w:pStyle w:val="NoSpacing"/>
        <w:rPr>
          <w:b/>
        </w:rPr>
      </w:pPr>
    </w:p>
    <w:p w14:paraId="7CCB869E" w14:textId="26F84BA5" w:rsidR="001358B0" w:rsidRDefault="001358B0" w:rsidP="001833EA">
      <w:pPr>
        <w:pStyle w:val="NoSpacing"/>
        <w:rPr>
          <w:b/>
        </w:rPr>
      </w:pPr>
    </w:p>
    <w:p w14:paraId="1E7AB051" w14:textId="63CACFD1" w:rsidR="001358B0" w:rsidRDefault="001358B0" w:rsidP="001833EA">
      <w:pPr>
        <w:pStyle w:val="NoSpacing"/>
        <w:rPr>
          <w:b/>
        </w:rPr>
      </w:pPr>
    </w:p>
    <w:p w14:paraId="76936E32" w14:textId="10F77C3D" w:rsidR="001358B0" w:rsidRDefault="001358B0" w:rsidP="001833EA">
      <w:pPr>
        <w:pStyle w:val="NoSpacing"/>
        <w:rPr>
          <w:b/>
        </w:rPr>
      </w:pPr>
    </w:p>
    <w:p w14:paraId="0165DE3F" w14:textId="3C0BBF33" w:rsidR="001358B0" w:rsidRDefault="001358B0" w:rsidP="001833EA">
      <w:pPr>
        <w:pStyle w:val="NoSpacing"/>
        <w:rPr>
          <w:b/>
        </w:rPr>
      </w:pPr>
    </w:p>
    <w:p w14:paraId="29B2D6BB" w14:textId="4CE482A6" w:rsidR="001358B0" w:rsidRDefault="001358B0" w:rsidP="001833EA">
      <w:pPr>
        <w:pStyle w:val="NoSpacing"/>
        <w:rPr>
          <w:b/>
        </w:rPr>
      </w:pPr>
    </w:p>
    <w:p w14:paraId="7574F56A" w14:textId="22F7DEEB" w:rsidR="001358B0" w:rsidRDefault="001358B0" w:rsidP="001833EA">
      <w:pPr>
        <w:pStyle w:val="NoSpacing"/>
        <w:rPr>
          <w:b/>
        </w:rPr>
      </w:pPr>
    </w:p>
    <w:p w14:paraId="1A2F9725" w14:textId="2EC61BA4" w:rsidR="001358B0" w:rsidRDefault="001358B0" w:rsidP="001833EA">
      <w:pPr>
        <w:pStyle w:val="NoSpacing"/>
        <w:rPr>
          <w:b/>
        </w:rPr>
      </w:pPr>
    </w:p>
    <w:p w14:paraId="011F3B13" w14:textId="2629E8DF" w:rsidR="001358B0" w:rsidRDefault="001358B0" w:rsidP="001833EA">
      <w:pPr>
        <w:pStyle w:val="NoSpacing"/>
        <w:rPr>
          <w:b/>
        </w:rPr>
      </w:pPr>
    </w:p>
    <w:p w14:paraId="30D789DB" w14:textId="57D0698A" w:rsidR="001358B0" w:rsidRDefault="001358B0" w:rsidP="001833EA">
      <w:pPr>
        <w:pStyle w:val="NoSpacing"/>
        <w:rPr>
          <w:b/>
        </w:rPr>
      </w:pPr>
    </w:p>
    <w:p w14:paraId="716DC68F" w14:textId="77777777" w:rsidR="001358B0" w:rsidRPr="001833EA" w:rsidRDefault="001358B0" w:rsidP="001833EA">
      <w:pPr>
        <w:pStyle w:val="NoSpacing"/>
        <w:rPr>
          <w:b/>
        </w:rPr>
      </w:pPr>
      <w:bookmarkStart w:id="0" w:name="_GoBack"/>
      <w:bookmarkEnd w:id="0"/>
    </w:p>
    <w:p w14:paraId="6AEBE75D" w14:textId="77777777" w:rsidR="008860EE" w:rsidRPr="00BB5B08" w:rsidRDefault="008860EE" w:rsidP="008860EE">
      <w:pPr>
        <w:pStyle w:val="ListParagraph"/>
        <w:numPr>
          <w:ilvl w:val="0"/>
          <w:numId w:val="2"/>
        </w:numPr>
      </w:pPr>
      <w:r w:rsidRPr="008860EE">
        <w:rPr>
          <w:b/>
        </w:rPr>
        <w:lastRenderedPageBreak/>
        <w:t>Introduction</w:t>
      </w:r>
      <w:r>
        <w:rPr>
          <w:b/>
        </w:rPr>
        <w:br/>
      </w:r>
    </w:p>
    <w:p w14:paraId="7717C1F5" w14:textId="77777777" w:rsidR="008860EE" w:rsidRPr="008860EE" w:rsidRDefault="003D73A7" w:rsidP="003D73A7">
      <w:pPr>
        <w:pStyle w:val="ListParagraph"/>
        <w:numPr>
          <w:ilvl w:val="0"/>
          <w:numId w:val="3"/>
        </w:numPr>
        <w:ind w:left="1418" w:hanging="709"/>
        <w:rPr>
          <w:b/>
        </w:rPr>
      </w:pPr>
      <w:r w:rsidRPr="00BB5B08">
        <w:t xml:space="preserve">Living Options Devon recognises that an effective </w:t>
      </w:r>
      <w:r w:rsidR="00BB5B08">
        <w:t>Board</w:t>
      </w:r>
      <w:r w:rsidRPr="00BB5B08">
        <w:t xml:space="preserve"> of Trustees is</w:t>
      </w:r>
      <w:r w:rsidRPr="003D73A7">
        <w:t xml:space="preserve"> </w:t>
      </w:r>
      <w:r w:rsidR="007D37E0">
        <w:t xml:space="preserve">a pre requisite to achieving </w:t>
      </w:r>
      <w:r w:rsidRPr="003D73A7">
        <w:t xml:space="preserve">its objects. The </w:t>
      </w:r>
      <w:r w:rsidR="00BB5B08">
        <w:t>Board</w:t>
      </w:r>
      <w:r w:rsidRPr="003D73A7">
        <w:t xml:space="preserve"> must seek to be representative of the people with whom the charity works and must have available to it all of the knowledge and</w:t>
      </w:r>
      <w:r>
        <w:t xml:space="preserve"> </w:t>
      </w:r>
      <w:r w:rsidRPr="003D73A7">
        <w:t>skills required to run the charity. Individual trustees must have sufficient knowledge, both of trusteeship in general and of the Charity's activities, to enable them to carry out their role and to represent the Charit</w:t>
      </w:r>
      <w:r w:rsidR="008860EE">
        <w:t>y at meetings and other events.</w:t>
      </w:r>
      <w:r w:rsidR="008860EE">
        <w:br/>
      </w:r>
    </w:p>
    <w:p w14:paraId="6578D8DA" w14:textId="77777777" w:rsidR="003D73A7" w:rsidRPr="004B441A" w:rsidRDefault="00BB5B08" w:rsidP="008860EE">
      <w:pPr>
        <w:pStyle w:val="ListParagraph"/>
        <w:numPr>
          <w:ilvl w:val="1"/>
          <w:numId w:val="4"/>
        </w:numPr>
        <w:ind w:left="1418" w:hanging="709"/>
        <w:rPr>
          <w:b/>
        </w:rPr>
      </w:pPr>
      <w:r>
        <w:t>Board</w:t>
      </w:r>
      <w:r w:rsidR="003D73A7">
        <w:t xml:space="preserve"> members and staff are essential to the well –being </w:t>
      </w:r>
      <w:r w:rsidR="000C500E">
        <w:t>and effectiveness</w:t>
      </w:r>
      <w:r w:rsidR="003D73A7">
        <w:t xml:space="preserve"> of Living Options Devon. Living Options Devon is committed to </w:t>
      </w:r>
      <w:r>
        <w:t xml:space="preserve">ensuring good governance and having </w:t>
      </w:r>
      <w:r w:rsidR="003D73A7">
        <w:t xml:space="preserve">the right </w:t>
      </w:r>
      <w:r>
        <w:t>Board</w:t>
      </w:r>
      <w:r w:rsidR="003D73A7">
        <w:t xml:space="preserve"> </w:t>
      </w:r>
      <w:r>
        <w:t>i</w:t>
      </w:r>
      <w:r w:rsidR="007D37E0">
        <w:t>n</w:t>
      </w:r>
      <w:r>
        <w:t xml:space="preserve"> </w:t>
      </w:r>
      <w:r w:rsidR="003D73A7">
        <w:t>place is key to achieving this.</w:t>
      </w:r>
    </w:p>
    <w:p w14:paraId="6823FEFB" w14:textId="77777777" w:rsidR="004B441A" w:rsidRPr="004B441A" w:rsidRDefault="004B441A" w:rsidP="004B441A">
      <w:pPr>
        <w:pStyle w:val="ListParagraph"/>
        <w:ind w:left="1418"/>
        <w:rPr>
          <w:b/>
        </w:rPr>
      </w:pPr>
    </w:p>
    <w:p w14:paraId="47F9D094" w14:textId="77777777" w:rsidR="004B441A" w:rsidRPr="004B441A" w:rsidRDefault="004B441A" w:rsidP="008860EE">
      <w:pPr>
        <w:pStyle w:val="ListParagraph"/>
        <w:numPr>
          <w:ilvl w:val="1"/>
          <w:numId w:val="4"/>
        </w:numPr>
        <w:ind w:left="1418" w:hanging="709"/>
      </w:pPr>
      <w:r w:rsidRPr="004B441A">
        <w:t xml:space="preserve">As outlined in Living Options Devon’s Memorandum and Articles of Association </w:t>
      </w:r>
      <w:r w:rsidR="00990FEC" w:rsidRPr="004B441A">
        <w:t>‘Not</w:t>
      </w:r>
      <w:r w:rsidRPr="004B441A">
        <w:t xml:space="preserve"> less than 75</w:t>
      </w:r>
      <w:r>
        <w:t>%</w:t>
      </w:r>
      <w:r w:rsidRPr="004B441A">
        <w:t xml:space="preserve"> of the total number of Trustees shall be persons with a disability and/or Deaf’.</w:t>
      </w:r>
    </w:p>
    <w:p w14:paraId="55C39F19" w14:textId="77777777" w:rsidR="003D73A7" w:rsidRPr="003D73A7" w:rsidRDefault="008860EE" w:rsidP="003D73A7">
      <w:pPr>
        <w:rPr>
          <w:b/>
        </w:rPr>
      </w:pPr>
      <w:r>
        <w:rPr>
          <w:b/>
        </w:rPr>
        <w:t xml:space="preserve">2.0 </w:t>
      </w:r>
      <w:r>
        <w:rPr>
          <w:b/>
        </w:rPr>
        <w:tab/>
        <w:t xml:space="preserve">Planning </w:t>
      </w:r>
      <w:r w:rsidR="003D73A7" w:rsidRPr="003D73A7">
        <w:rPr>
          <w:b/>
        </w:rPr>
        <w:t>Recruitment</w:t>
      </w:r>
    </w:p>
    <w:p w14:paraId="4CBB5A0C" w14:textId="77777777" w:rsidR="008860EE" w:rsidRDefault="008860EE" w:rsidP="008860EE">
      <w:pPr>
        <w:ind w:left="1418" w:hanging="709"/>
      </w:pPr>
      <w:r>
        <w:t>2.1</w:t>
      </w:r>
      <w:r>
        <w:tab/>
        <w:t xml:space="preserve">Living Options Devon believes that for the </w:t>
      </w:r>
      <w:r w:rsidR="00BB5B08">
        <w:t>Board</w:t>
      </w:r>
      <w:r>
        <w:t xml:space="preserve"> of Trustees to be fit for purpose, it must be comprised of individuals </w:t>
      </w:r>
      <w:r w:rsidR="007D37E0">
        <w:t xml:space="preserve">who </w:t>
      </w:r>
      <w:r>
        <w:t>possess a range of skills and experiences that will enable them to effectively fulfil their individual role</w:t>
      </w:r>
      <w:r w:rsidR="007D37E0">
        <w:t>s</w:t>
      </w:r>
      <w:r>
        <w:t xml:space="preserve"> on the </w:t>
      </w:r>
      <w:r w:rsidR="00BB5B08">
        <w:t>Board</w:t>
      </w:r>
      <w:r>
        <w:t xml:space="preserve">. To this end the </w:t>
      </w:r>
      <w:r w:rsidR="00BB5B08">
        <w:t>Board</w:t>
      </w:r>
      <w:r>
        <w:t xml:space="preserve"> will regularly undertake a ‘skills audit’ of the </w:t>
      </w:r>
      <w:r w:rsidR="00BB5B08">
        <w:t>Board</w:t>
      </w:r>
      <w:r w:rsidR="00961F44">
        <w:t xml:space="preserve"> to ensure that its members offer</w:t>
      </w:r>
      <w:r>
        <w:t xml:space="preserve"> a range of skills, knowledge and experience.</w:t>
      </w:r>
    </w:p>
    <w:p w14:paraId="4A7A61A4" w14:textId="77777777" w:rsidR="008860EE" w:rsidRDefault="008860EE" w:rsidP="008860EE">
      <w:pPr>
        <w:ind w:left="1418" w:hanging="709"/>
      </w:pPr>
      <w:r>
        <w:t>2.2</w:t>
      </w:r>
      <w:r>
        <w:tab/>
      </w:r>
      <w:r w:rsidR="000C500E">
        <w:t>Whilst the Trustee recruitment process can start at any time of the year, as a minimum,</w:t>
      </w:r>
      <w:r w:rsidR="000C500E" w:rsidRPr="000C500E">
        <w:t xml:space="preserve"> e</w:t>
      </w:r>
      <w:r w:rsidR="003D73A7" w:rsidRPr="000C500E">
        <w:t>very year 3 months before the AGM,</w:t>
      </w:r>
      <w:r w:rsidR="00961F44" w:rsidRPr="000C500E">
        <w:t xml:space="preserve"> the </w:t>
      </w:r>
      <w:r w:rsidR="00BB5B08" w:rsidRPr="000C500E">
        <w:t>Board</w:t>
      </w:r>
      <w:r w:rsidR="003D73A7" w:rsidRPr="000C500E">
        <w:t xml:space="preserve"> will decide whether they need to actively recruit new </w:t>
      </w:r>
      <w:r w:rsidR="00BB5B08" w:rsidRPr="000C500E">
        <w:t>Board</w:t>
      </w:r>
      <w:r w:rsidR="003D73A7" w:rsidRPr="000C500E">
        <w:t xml:space="preserve"> members.</w:t>
      </w:r>
      <w:r w:rsidR="003D73A7">
        <w:t xml:space="preserve"> In addition if during the course of the year, any </w:t>
      </w:r>
      <w:r w:rsidR="00BB5B08">
        <w:t>Board</w:t>
      </w:r>
      <w:r w:rsidR="003D73A7">
        <w:t xml:space="preserve"> members announce their intention to leave, the </w:t>
      </w:r>
      <w:r w:rsidR="00BB5B08">
        <w:t>Board</w:t>
      </w:r>
      <w:r w:rsidR="003D73A7">
        <w:t xml:space="preserve"> will decide whether they need to recruit new </w:t>
      </w:r>
      <w:r w:rsidR="00BB5B08">
        <w:t>Board</w:t>
      </w:r>
      <w:r w:rsidR="003D73A7">
        <w:t xml:space="preserve"> members in their place.</w:t>
      </w:r>
    </w:p>
    <w:p w14:paraId="54009DE7" w14:textId="77777777" w:rsidR="008860EE" w:rsidRPr="008860EE" w:rsidRDefault="008860EE" w:rsidP="003C1B11">
      <w:pPr>
        <w:rPr>
          <w:b/>
        </w:rPr>
      </w:pPr>
      <w:r w:rsidRPr="008860EE">
        <w:rPr>
          <w:b/>
        </w:rPr>
        <w:t xml:space="preserve">3.0 </w:t>
      </w:r>
      <w:r w:rsidR="00961F44">
        <w:rPr>
          <w:b/>
        </w:rPr>
        <w:tab/>
      </w:r>
      <w:r w:rsidR="00BB5B08">
        <w:rPr>
          <w:b/>
        </w:rPr>
        <w:t>Responsibil</w:t>
      </w:r>
      <w:r w:rsidRPr="008860EE">
        <w:rPr>
          <w:b/>
        </w:rPr>
        <w:t>ities</w:t>
      </w:r>
    </w:p>
    <w:p w14:paraId="36B69224" w14:textId="77777777" w:rsidR="003C1B11" w:rsidRDefault="008860EE" w:rsidP="003C1B11">
      <w:pPr>
        <w:tabs>
          <w:tab w:val="left" w:pos="1418"/>
        </w:tabs>
        <w:ind w:left="1418" w:hanging="851"/>
      </w:pPr>
      <w:r>
        <w:t>3.1</w:t>
      </w:r>
      <w:r>
        <w:tab/>
      </w:r>
      <w:r w:rsidR="003D73A7">
        <w:t xml:space="preserve">The Chair of Trustees will lead the recruitment process and make sure </w:t>
      </w:r>
      <w:r w:rsidR="00961F44">
        <w:t xml:space="preserve">the recruitment is kept on the </w:t>
      </w:r>
      <w:r w:rsidR="00BB5B08">
        <w:t>Board</w:t>
      </w:r>
      <w:r w:rsidR="00961F44">
        <w:t xml:space="preserve">’s agenda; that progress is made; </w:t>
      </w:r>
      <w:r w:rsidR="003D73A7">
        <w:t>and that this policy is r</w:t>
      </w:r>
      <w:r w:rsidR="00961F44">
        <w:t xml:space="preserve">egularly reviewed. </w:t>
      </w:r>
      <w:r w:rsidR="003D73A7">
        <w:t>Action and responsibili</w:t>
      </w:r>
      <w:r w:rsidR="00961F44">
        <w:t xml:space="preserve">ties may be delegated to other </w:t>
      </w:r>
      <w:r w:rsidR="00BB5B08">
        <w:t>Board</w:t>
      </w:r>
      <w:r>
        <w:t xml:space="preserve"> members.</w:t>
      </w:r>
    </w:p>
    <w:p w14:paraId="15114626" w14:textId="77777777" w:rsidR="00961F44" w:rsidRDefault="008860EE" w:rsidP="00793684">
      <w:pPr>
        <w:tabs>
          <w:tab w:val="left" w:pos="1418"/>
        </w:tabs>
        <w:ind w:left="1418" w:hanging="851"/>
      </w:pPr>
      <w:r>
        <w:lastRenderedPageBreak/>
        <w:t>3.2</w:t>
      </w:r>
      <w:r>
        <w:tab/>
      </w:r>
      <w:r w:rsidR="00793684">
        <w:t xml:space="preserve">The Chair </w:t>
      </w:r>
      <w:r w:rsidR="003D73A7">
        <w:t xml:space="preserve">of Trustees is responsible for ensuring that due </w:t>
      </w:r>
      <w:r w:rsidR="00793684">
        <w:tab/>
      </w:r>
      <w:r w:rsidR="003D73A7">
        <w:t>process is followed with suppor</w:t>
      </w:r>
      <w:r>
        <w:t>t from employees at Living Optio</w:t>
      </w:r>
      <w:r w:rsidR="003D73A7">
        <w:t xml:space="preserve">ns Devon.  </w:t>
      </w:r>
    </w:p>
    <w:p w14:paraId="52BCD5D4" w14:textId="77777777" w:rsidR="003D73A7" w:rsidRDefault="00961F44" w:rsidP="003C1B11">
      <w:pPr>
        <w:tabs>
          <w:tab w:val="left" w:pos="709"/>
        </w:tabs>
        <w:ind w:left="1418" w:hanging="851"/>
      </w:pPr>
      <w:r>
        <w:t>3.3</w:t>
      </w:r>
      <w:r>
        <w:tab/>
      </w:r>
      <w:r w:rsidR="003D73A7">
        <w:t>The</w:t>
      </w:r>
      <w:r w:rsidR="003D73A7" w:rsidRPr="00D7540F">
        <w:t xml:space="preserve"> </w:t>
      </w:r>
      <w:r w:rsidR="00BB5B08" w:rsidRPr="00D7540F">
        <w:t>Board</w:t>
      </w:r>
      <w:r w:rsidR="00D7540F">
        <w:t xml:space="preserve"> </w:t>
      </w:r>
      <w:r w:rsidR="003D73A7">
        <w:t xml:space="preserve">of Trustees is responsible for ensuring that </w:t>
      </w:r>
      <w:r>
        <w:t>a</w:t>
      </w:r>
      <w:r w:rsidR="003D73A7">
        <w:t>pplicants are fit to stand for election. Consideration should be given to:</w:t>
      </w:r>
    </w:p>
    <w:p w14:paraId="3163FE6F" w14:textId="77777777" w:rsidR="003D73A7" w:rsidRDefault="003D73A7" w:rsidP="003C1B11">
      <w:pPr>
        <w:pStyle w:val="ListParagraph"/>
        <w:numPr>
          <w:ilvl w:val="0"/>
          <w:numId w:val="1"/>
        </w:numPr>
        <w:ind w:left="2268" w:hanging="567"/>
      </w:pPr>
      <w:r>
        <w:t>fulfilling the requirements set out in the Memorandum and Articles of Association</w:t>
      </w:r>
      <w:r w:rsidR="00BB5B08">
        <w:t>;</w:t>
      </w:r>
    </w:p>
    <w:p w14:paraId="6424A8B0" w14:textId="77777777" w:rsidR="003D73A7" w:rsidRDefault="003D73A7" w:rsidP="003C1B11">
      <w:pPr>
        <w:pStyle w:val="ListParagraph"/>
        <w:numPr>
          <w:ilvl w:val="0"/>
          <w:numId w:val="1"/>
        </w:numPr>
        <w:ind w:left="2268" w:hanging="567"/>
      </w:pPr>
      <w:r>
        <w:t>ensuring that applicants have the ability to fulfil the roles outlined in the job description and code of governance</w:t>
      </w:r>
      <w:r w:rsidR="00BB5B08">
        <w:t>;</w:t>
      </w:r>
    </w:p>
    <w:p w14:paraId="6D6842E6" w14:textId="77777777" w:rsidR="003D73A7" w:rsidRDefault="003D73A7" w:rsidP="003C1B11">
      <w:pPr>
        <w:pStyle w:val="ListParagraph"/>
        <w:numPr>
          <w:ilvl w:val="0"/>
          <w:numId w:val="1"/>
        </w:numPr>
        <w:ind w:left="2268" w:hanging="567"/>
      </w:pPr>
      <w:r>
        <w:t>that the suitability declaration on the application</w:t>
      </w:r>
      <w:r w:rsidR="00BB5B08">
        <w:t xml:space="preserve"> form has been signed and dated;</w:t>
      </w:r>
    </w:p>
    <w:p w14:paraId="53DB5F06" w14:textId="77777777" w:rsidR="003D73A7" w:rsidRDefault="003D73A7" w:rsidP="003C1B11">
      <w:pPr>
        <w:pStyle w:val="ListParagraph"/>
        <w:numPr>
          <w:ilvl w:val="0"/>
          <w:numId w:val="1"/>
        </w:numPr>
        <w:ind w:left="2268" w:hanging="567"/>
      </w:pPr>
      <w:r>
        <w:t>the eligibility declaration has been signed and dated</w:t>
      </w:r>
      <w:r w:rsidR="00BB5B08">
        <w:t>;</w:t>
      </w:r>
    </w:p>
    <w:p w14:paraId="21D9518F" w14:textId="77777777" w:rsidR="003D73A7" w:rsidRDefault="003D73A7" w:rsidP="003C1B11">
      <w:pPr>
        <w:pStyle w:val="ListParagraph"/>
        <w:numPr>
          <w:ilvl w:val="0"/>
          <w:numId w:val="1"/>
        </w:numPr>
        <w:ind w:left="2268" w:hanging="567"/>
      </w:pPr>
      <w:r>
        <w:t>the conflict of interest form has been signed and dated</w:t>
      </w:r>
      <w:r w:rsidR="00BB5B08">
        <w:t>; and</w:t>
      </w:r>
    </w:p>
    <w:p w14:paraId="291A8F67" w14:textId="77777777" w:rsidR="003D73A7" w:rsidRDefault="003D73A7" w:rsidP="003C1B11">
      <w:pPr>
        <w:pStyle w:val="ListParagraph"/>
        <w:numPr>
          <w:ilvl w:val="0"/>
          <w:numId w:val="1"/>
        </w:numPr>
        <w:ind w:left="2268" w:hanging="567"/>
      </w:pPr>
      <w:r>
        <w:t>references have been returned.</w:t>
      </w:r>
    </w:p>
    <w:p w14:paraId="7AFC1B96" w14:textId="77777777" w:rsidR="008860EE" w:rsidRPr="008860EE" w:rsidRDefault="008860EE" w:rsidP="003D73A7">
      <w:r>
        <w:rPr>
          <w:b/>
        </w:rPr>
        <w:t>4.0</w:t>
      </w:r>
      <w:r>
        <w:rPr>
          <w:b/>
        </w:rPr>
        <w:tab/>
        <w:t>Appointment of new trustees</w:t>
      </w:r>
      <w:r w:rsidR="003C1B11">
        <w:rPr>
          <w:b/>
        </w:rPr>
        <w:t xml:space="preserve"> - process</w:t>
      </w:r>
    </w:p>
    <w:p w14:paraId="34BB3A09" w14:textId="77777777" w:rsidR="003C1B11" w:rsidRDefault="008860EE" w:rsidP="003D73A7">
      <w:r>
        <w:tab/>
      </w:r>
      <w:r w:rsidRPr="008860EE">
        <w:t>4.1</w:t>
      </w:r>
      <w:r w:rsidRPr="008860EE">
        <w:tab/>
        <w:t xml:space="preserve">The </w:t>
      </w:r>
      <w:r w:rsidR="00BB5B08">
        <w:t>Board</w:t>
      </w:r>
      <w:r w:rsidRPr="008860EE">
        <w:t xml:space="preserve"> will refer to their governing do</w:t>
      </w:r>
      <w:r>
        <w:t xml:space="preserve">cument to determine whether </w:t>
      </w:r>
      <w:r>
        <w:tab/>
      </w:r>
      <w:r>
        <w:tab/>
        <w:t xml:space="preserve">new </w:t>
      </w:r>
      <w:r w:rsidR="00BB5B08">
        <w:t>Board</w:t>
      </w:r>
      <w:r w:rsidRPr="008860EE">
        <w:t xml:space="preserve"> members should be elected, co-opted, and recruit in line with </w:t>
      </w:r>
      <w:r>
        <w:tab/>
      </w:r>
      <w:r>
        <w:tab/>
      </w:r>
      <w:r w:rsidRPr="008860EE">
        <w:t xml:space="preserve">the </w:t>
      </w:r>
      <w:r>
        <w:t>ap</w:t>
      </w:r>
      <w:r w:rsidRPr="008860EE">
        <w:t>propriate process.</w:t>
      </w:r>
    </w:p>
    <w:p w14:paraId="0DAE3E85" w14:textId="77777777" w:rsidR="003C1B11" w:rsidRDefault="003C1B11" w:rsidP="003C1B11">
      <w:pPr>
        <w:ind w:left="709"/>
      </w:pPr>
      <w:r>
        <w:tab/>
        <w:t>4.2</w:t>
      </w:r>
      <w:r>
        <w:tab/>
      </w:r>
      <w:r w:rsidRPr="003C1B11">
        <w:t xml:space="preserve">The </w:t>
      </w:r>
      <w:r w:rsidR="00BB5B08">
        <w:t>Board</w:t>
      </w:r>
      <w:r w:rsidRPr="003C1B11">
        <w:t xml:space="preserve"> of Trustees wi</w:t>
      </w:r>
      <w:r w:rsidR="00793684">
        <w:t>ll need to ensure that the make-</w:t>
      </w:r>
      <w:r w:rsidRPr="003C1B11">
        <w:t xml:space="preserve">up of the </w:t>
      </w:r>
      <w:r w:rsidR="00BB5B08">
        <w:t>Board</w:t>
      </w:r>
      <w:r w:rsidRPr="003C1B11">
        <w:t xml:space="preserve"> </w:t>
      </w:r>
      <w:r>
        <w:tab/>
      </w:r>
      <w:r>
        <w:tab/>
      </w:r>
      <w:r w:rsidRPr="003C1B11">
        <w:t xml:space="preserve">sits within the criteria laid down in the Memorandum and Articles of </w:t>
      </w:r>
      <w:r>
        <w:tab/>
      </w:r>
      <w:r>
        <w:tab/>
      </w:r>
      <w:r>
        <w:tab/>
      </w:r>
      <w:r w:rsidRPr="003C1B11">
        <w:t xml:space="preserve">Association. They will need to determine if the applicant has the skills </w:t>
      </w:r>
      <w:r>
        <w:tab/>
      </w:r>
      <w:r>
        <w:tab/>
      </w:r>
      <w:r w:rsidRPr="003C1B11">
        <w:t xml:space="preserve">and ability to fulfil the role as detailed in the job description and that they </w:t>
      </w:r>
      <w:r>
        <w:tab/>
      </w:r>
      <w:r>
        <w:tab/>
      </w:r>
      <w:r w:rsidRPr="003C1B11">
        <w:t>fulfil the legal requirements to be a Charitable Trustee.</w:t>
      </w:r>
    </w:p>
    <w:p w14:paraId="70A12039" w14:textId="77777777" w:rsidR="003C1B11" w:rsidRDefault="003C1B11" w:rsidP="003C1B11">
      <w:pPr>
        <w:ind w:left="709"/>
      </w:pPr>
      <w:r>
        <w:t>4.3</w:t>
      </w:r>
      <w:r>
        <w:tab/>
      </w:r>
      <w:r w:rsidR="003D73A7">
        <w:t xml:space="preserve">Vacancies on the Trustee </w:t>
      </w:r>
      <w:r w:rsidR="00BB5B08">
        <w:t>Board</w:t>
      </w:r>
      <w:r w:rsidR="003D73A7">
        <w:t xml:space="preserve"> wil</w:t>
      </w:r>
      <w:r w:rsidR="00BB5B08">
        <w:t>l</w:t>
      </w:r>
      <w:r w:rsidR="003D73A7">
        <w:t xml:space="preserve"> be advertised </w:t>
      </w:r>
      <w:r w:rsidR="007D37E0">
        <w:t xml:space="preserve">appropriately and on </w:t>
      </w:r>
      <w:r w:rsidR="007D37E0">
        <w:tab/>
      </w:r>
      <w:r w:rsidR="007D37E0">
        <w:tab/>
        <w:t>the Living Options Devon website.</w:t>
      </w:r>
    </w:p>
    <w:p w14:paraId="705E157A" w14:textId="77777777" w:rsidR="003D73A7" w:rsidRDefault="003C1B11" w:rsidP="003C1B11">
      <w:pPr>
        <w:ind w:left="709"/>
      </w:pPr>
      <w:r>
        <w:t>4.4</w:t>
      </w:r>
      <w:r>
        <w:tab/>
      </w:r>
      <w:r w:rsidR="003D73A7">
        <w:t xml:space="preserve">Candidates </w:t>
      </w:r>
      <w:r w:rsidR="00BB5B08">
        <w:t xml:space="preserve">are required to </w:t>
      </w:r>
      <w:r w:rsidR="003D73A7">
        <w:t>submit a completed applicat</w:t>
      </w:r>
      <w:r>
        <w:t xml:space="preserve">ion form and </w:t>
      </w:r>
      <w:r w:rsidR="007D37E0">
        <w:t xml:space="preserve">will </w:t>
      </w:r>
      <w:r w:rsidR="007D37E0">
        <w:tab/>
      </w:r>
      <w:r w:rsidR="007D37E0">
        <w:tab/>
        <w:t xml:space="preserve">be </w:t>
      </w:r>
      <w:r w:rsidR="00BB5B08">
        <w:t xml:space="preserve">interviewed by </w:t>
      </w:r>
      <w:r w:rsidR="003D73A7">
        <w:t xml:space="preserve">the Chair of Trustees. Appointment is then carried out </w:t>
      </w:r>
      <w:r w:rsidR="007D37E0">
        <w:tab/>
      </w:r>
      <w:r w:rsidR="007D37E0">
        <w:tab/>
      </w:r>
      <w:r w:rsidR="003D73A7">
        <w:t>as</w:t>
      </w:r>
      <w:r w:rsidR="007D37E0">
        <w:t xml:space="preserve"> </w:t>
      </w:r>
      <w:r w:rsidR="003D73A7">
        <w:t>outlined in the governing document.</w:t>
      </w:r>
    </w:p>
    <w:p w14:paraId="646AE360" w14:textId="77777777" w:rsidR="003D73A7" w:rsidRPr="003D73A7" w:rsidRDefault="00BB5B08" w:rsidP="003D73A7">
      <w:pPr>
        <w:rPr>
          <w:b/>
        </w:rPr>
      </w:pPr>
      <w:r>
        <w:rPr>
          <w:b/>
        </w:rPr>
        <w:t xml:space="preserve">5.0 </w:t>
      </w:r>
      <w:r>
        <w:rPr>
          <w:b/>
        </w:rPr>
        <w:tab/>
      </w:r>
      <w:r w:rsidR="003D73A7" w:rsidRPr="003D73A7">
        <w:rPr>
          <w:b/>
        </w:rPr>
        <w:t>Review and Development</w:t>
      </w:r>
    </w:p>
    <w:p w14:paraId="73A1D607" w14:textId="77777777" w:rsidR="00AA6909" w:rsidRDefault="00BB5B08" w:rsidP="00BB5B08">
      <w:pPr>
        <w:ind w:left="720"/>
      </w:pPr>
      <w:r>
        <w:t>5.1</w:t>
      </w:r>
      <w:r>
        <w:tab/>
      </w:r>
      <w:r w:rsidR="003D73A7">
        <w:t xml:space="preserve">The </w:t>
      </w:r>
      <w:r>
        <w:t>Board</w:t>
      </w:r>
      <w:r w:rsidR="003D73A7">
        <w:t xml:space="preserve"> will review the </w:t>
      </w:r>
      <w:r>
        <w:t>Board</w:t>
      </w:r>
      <w:r w:rsidR="003D73A7">
        <w:t xml:space="preserve"> recruitment process after each </w:t>
      </w:r>
      <w:r>
        <w:tab/>
      </w:r>
      <w:r>
        <w:tab/>
      </w:r>
      <w:r>
        <w:tab/>
      </w:r>
      <w:r w:rsidR="003D73A7">
        <w:t xml:space="preserve">appointment. The new </w:t>
      </w:r>
      <w:r>
        <w:t>Board</w:t>
      </w:r>
      <w:r w:rsidR="003D73A7">
        <w:t xml:space="preserve"> member should be encouraged to </w:t>
      </w:r>
      <w:r>
        <w:t>f</w:t>
      </w:r>
      <w:r w:rsidR="003D73A7">
        <w:t xml:space="preserve">eed in </w:t>
      </w:r>
      <w:r>
        <w:tab/>
      </w:r>
      <w:r w:rsidR="003D73A7">
        <w:t xml:space="preserve">what they felt went well and what could be improved in their view. If any </w:t>
      </w:r>
      <w:r>
        <w:tab/>
      </w:r>
      <w:r w:rsidR="003D73A7">
        <w:t xml:space="preserve">changes to this policy are needed, the changes shall be made and a </w:t>
      </w:r>
      <w:r>
        <w:tab/>
      </w:r>
      <w:r w:rsidR="003D73A7">
        <w:t xml:space="preserve">revised policy put to the </w:t>
      </w:r>
      <w:r>
        <w:t>Board</w:t>
      </w:r>
      <w:r w:rsidR="003D73A7">
        <w:t xml:space="preserve"> for adoption. This policy shall be </w:t>
      </w:r>
      <w:r>
        <w:tab/>
      </w:r>
      <w:r w:rsidR="003D73A7">
        <w:t xml:space="preserve">reviewed after each </w:t>
      </w:r>
      <w:r>
        <w:t>Board</w:t>
      </w:r>
      <w:r w:rsidR="003D73A7">
        <w:t xml:space="preserve"> member is successfully appointed.</w:t>
      </w:r>
    </w:p>
    <w:sectPr w:rsidR="00AA6909" w:rsidSect="008860EE">
      <w:headerReference w:type="default" r:id="rId11"/>
      <w:footerReference w:type="default" r:id="rId12"/>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EF51" w14:textId="77777777" w:rsidR="00877925" w:rsidRDefault="00877925" w:rsidP="00CA2D60">
      <w:pPr>
        <w:spacing w:after="0" w:line="240" w:lineRule="auto"/>
      </w:pPr>
      <w:r>
        <w:separator/>
      </w:r>
    </w:p>
  </w:endnote>
  <w:endnote w:type="continuationSeparator" w:id="0">
    <w:p w14:paraId="18FAE446" w14:textId="77777777" w:rsidR="00877925" w:rsidRDefault="00877925" w:rsidP="00CA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818452"/>
      <w:docPartObj>
        <w:docPartGallery w:val="Page Numbers (Bottom of Page)"/>
        <w:docPartUnique/>
      </w:docPartObj>
    </w:sdtPr>
    <w:sdtEndPr>
      <w:rPr>
        <w:noProof/>
      </w:rPr>
    </w:sdtEndPr>
    <w:sdtContent>
      <w:p w14:paraId="6FA6B8FB" w14:textId="77777777" w:rsidR="00CA2D60" w:rsidRDefault="00904456">
        <w:pPr>
          <w:pStyle w:val="Footer"/>
          <w:jc w:val="right"/>
        </w:pPr>
        <w:r>
          <w:fldChar w:fldCharType="begin"/>
        </w:r>
        <w:r w:rsidR="00CA2D60">
          <w:instrText xml:space="preserve"> PAGE   \* MERGEFORMAT </w:instrText>
        </w:r>
        <w:r>
          <w:fldChar w:fldCharType="separate"/>
        </w:r>
        <w:r w:rsidR="007B367E">
          <w:rPr>
            <w:noProof/>
          </w:rPr>
          <w:t>1</w:t>
        </w:r>
        <w:r>
          <w:rPr>
            <w:noProof/>
          </w:rPr>
          <w:fldChar w:fldCharType="end"/>
        </w:r>
      </w:p>
    </w:sdtContent>
  </w:sdt>
  <w:p w14:paraId="6A1377EE" w14:textId="77777777" w:rsidR="00CA2D60" w:rsidRDefault="00CA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E451" w14:textId="77777777" w:rsidR="00877925" w:rsidRDefault="00877925" w:rsidP="00CA2D60">
      <w:pPr>
        <w:spacing w:after="0" w:line="240" w:lineRule="auto"/>
      </w:pPr>
      <w:r>
        <w:separator/>
      </w:r>
    </w:p>
  </w:footnote>
  <w:footnote w:type="continuationSeparator" w:id="0">
    <w:p w14:paraId="25FFBEC2" w14:textId="77777777" w:rsidR="00877925" w:rsidRDefault="00877925" w:rsidP="00CA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9B20" w14:textId="77777777" w:rsidR="008A4858" w:rsidRPr="008A4858" w:rsidRDefault="008A4858" w:rsidP="008A4858">
    <w:pPr>
      <w:pStyle w:val="Header"/>
      <w:jc w:val="both"/>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209F7"/>
    <w:multiLevelType w:val="hybridMultilevel"/>
    <w:tmpl w:val="E532361E"/>
    <w:lvl w:ilvl="0" w:tplc="ACC47298">
      <w:start w:val="1"/>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9565A5"/>
    <w:multiLevelType w:val="hybridMultilevel"/>
    <w:tmpl w:val="6E867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AE3211"/>
    <w:multiLevelType w:val="multilevel"/>
    <w:tmpl w:val="CF86F7FC"/>
    <w:lvl w:ilvl="0">
      <w:start w:val="1"/>
      <w:numFmt w:val="decimal"/>
      <w:lvlText w:val="%1"/>
      <w:lvlJc w:val="left"/>
      <w:pPr>
        <w:ind w:left="405" w:hanging="40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7F121CFF"/>
    <w:multiLevelType w:val="multilevel"/>
    <w:tmpl w:val="C64CC3A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A7"/>
    <w:rsid w:val="00016F18"/>
    <w:rsid w:val="000C500E"/>
    <w:rsid w:val="00116428"/>
    <w:rsid w:val="001358B0"/>
    <w:rsid w:val="001833EA"/>
    <w:rsid w:val="00206C59"/>
    <w:rsid w:val="00225044"/>
    <w:rsid w:val="00331D7E"/>
    <w:rsid w:val="003A410C"/>
    <w:rsid w:val="003C1B11"/>
    <w:rsid w:val="003D73A7"/>
    <w:rsid w:val="004B441A"/>
    <w:rsid w:val="005E060B"/>
    <w:rsid w:val="00793684"/>
    <w:rsid w:val="007B367E"/>
    <w:rsid w:val="007D37E0"/>
    <w:rsid w:val="008003EE"/>
    <w:rsid w:val="00877925"/>
    <w:rsid w:val="008860EE"/>
    <w:rsid w:val="008A4858"/>
    <w:rsid w:val="00904456"/>
    <w:rsid w:val="00961F44"/>
    <w:rsid w:val="00990FEC"/>
    <w:rsid w:val="009B6A94"/>
    <w:rsid w:val="00B17B83"/>
    <w:rsid w:val="00BB5B08"/>
    <w:rsid w:val="00BF7743"/>
    <w:rsid w:val="00CA2D60"/>
    <w:rsid w:val="00D7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D4"/>
  <w15:docId w15:val="{F9957C63-DDEA-43E7-9598-34692274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8"/>
        <w:szCs w:val="28"/>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3A7"/>
    <w:pPr>
      <w:ind w:left="720"/>
      <w:contextualSpacing/>
    </w:pPr>
  </w:style>
  <w:style w:type="paragraph" w:styleId="BalloonText">
    <w:name w:val="Balloon Text"/>
    <w:basedOn w:val="Normal"/>
    <w:link w:val="BalloonTextChar"/>
    <w:uiPriority w:val="99"/>
    <w:semiHidden/>
    <w:unhideWhenUsed/>
    <w:rsid w:val="0011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28"/>
    <w:rPr>
      <w:rFonts w:ascii="Tahoma" w:hAnsi="Tahoma" w:cs="Tahoma"/>
      <w:sz w:val="16"/>
      <w:szCs w:val="16"/>
    </w:rPr>
  </w:style>
  <w:style w:type="character" w:styleId="CommentReference">
    <w:name w:val="annotation reference"/>
    <w:basedOn w:val="DefaultParagraphFont"/>
    <w:uiPriority w:val="99"/>
    <w:semiHidden/>
    <w:unhideWhenUsed/>
    <w:rsid w:val="00016F18"/>
    <w:rPr>
      <w:sz w:val="16"/>
      <w:szCs w:val="16"/>
    </w:rPr>
  </w:style>
  <w:style w:type="paragraph" w:styleId="CommentText">
    <w:name w:val="annotation text"/>
    <w:basedOn w:val="Normal"/>
    <w:link w:val="CommentTextChar"/>
    <w:uiPriority w:val="99"/>
    <w:semiHidden/>
    <w:unhideWhenUsed/>
    <w:rsid w:val="00016F18"/>
    <w:pPr>
      <w:spacing w:line="240" w:lineRule="auto"/>
    </w:pPr>
    <w:rPr>
      <w:sz w:val="20"/>
      <w:szCs w:val="20"/>
    </w:rPr>
  </w:style>
  <w:style w:type="character" w:customStyle="1" w:styleId="CommentTextChar">
    <w:name w:val="Comment Text Char"/>
    <w:basedOn w:val="DefaultParagraphFont"/>
    <w:link w:val="CommentText"/>
    <w:uiPriority w:val="99"/>
    <w:semiHidden/>
    <w:rsid w:val="00016F18"/>
    <w:rPr>
      <w:sz w:val="20"/>
      <w:szCs w:val="20"/>
    </w:rPr>
  </w:style>
  <w:style w:type="paragraph" w:styleId="CommentSubject">
    <w:name w:val="annotation subject"/>
    <w:basedOn w:val="CommentText"/>
    <w:next w:val="CommentText"/>
    <w:link w:val="CommentSubjectChar"/>
    <w:uiPriority w:val="99"/>
    <w:semiHidden/>
    <w:unhideWhenUsed/>
    <w:rsid w:val="00016F18"/>
    <w:rPr>
      <w:b/>
      <w:bCs/>
    </w:rPr>
  </w:style>
  <w:style w:type="character" w:customStyle="1" w:styleId="CommentSubjectChar">
    <w:name w:val="Comment Subject Char"/>
    <w:basedOn w:val="CommentTextChar"/>
    <w:link w:val="CommentSubject"/>
    <w:uiPriority w:val="99"/>
    <w:semiHidden/>
    <w:rsid w:val="00016F18"/>
    <w:rPr>
      <w:b/>
      <w:bCs/>
      <w:sz w:val="20"/>
      <w:szCs w:val="20"/>
    </w:rPr>
  </w:style>
  <w:style w:type="paragraph" w:styleId="Header">
    <w:name w:val="header"/>
    <w:basedOn w:val="Normal"/>
    <w:link w:val="HeaderChar"/>
    <w:uiPriority w:val="99"/>
    <w:unhideWhenUsed/>
    <w:rsid w:val="00CA2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60"/>
  </w:style>
  <w:style w:type="paragraph" w:styleId="Footer">
    <w:name w:val="footer"/>
    <w:basedOn w:val="Normal"/>
    <w:link w:val="FooterChar"/>
    <w:uiPriority w:val="99"/>
    <w:unhideWhenUsed/>
    <w:rsid w:val="00CA2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60"/>
  </w:style>
  <w:style w:type="paragraph" w:styleId="NoSpacing">
    <w:name w:val="No Spacing"/>
    <w:uiPriority w:val="1"/>
    <w:qFormat/>
    <w:rsid w:val="001833EA"/>
    <w:pPr>
      <w:spacing w:after="0" w:line="240" w:lineRule="auto"/>
    </w:pPr>
  </w:style>
  <w:style w:type="table" w:styleId="TableGrid">
    <w:name w:val="Table Grid"/>
    <w:basedOn w:val="TableNormal"/>
    <w:uiPriority w:val="39"/>
    <w:rsid w:val="001358B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db83ea-ee89-4709-96ae-8ca37714409c" xsi:nil="true"/>
    <lcf76f155ced4ddcb4097134ff3c332f xmlns="e24b8916-de39-49d2-bdb0-db47458c1ca1">
      <Terms xmlns="http://schemas.microsoft.com/office/infopath/2007/PartnerControls"/>
    </lcf76f155ced4ddcb4097134ff3c332f>
    <Date xmlns="e24b8916-de39-49d2-bdb0-db47458c1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5ED55F9EE3E4DB8B71EB277938C3B" ma:contentTypeVersion="19" ma:contentTypeDescription="Create a new document." ma:contentTypeScope="" ma:versionID="aae6596027ef291965b6fc578d7dc407">
  <xsd:schema xmlns:xsd="http://www.w3.org/2001/XMLSchema" xmlns:xs="http://www.w3.org/2001/XMLSchema" xmlns:p="http://schemas.microsoft.com/office/2006/metadata/properties" xmlns:ns1="http://schemas.microsoft.com/sharepoint/v3" xmlns:ns2="e24b8916-de39-49d2-bdb0-db47458c1ca1" xmlns:ns3="0bdb83ea-ee89-4709-96ae-8ca37714409c" targetNamespace="http://schemas.microsoft.com/office/2006/metadata/properties" ma:root="true" ma:fieldsID="b8c088cf54feca25c70fe073898c6f4c" ns1:_="" ns2:_="" ns3:_="">
    <xsd:import namespace="http://schemas.microsoft.com/sharepoint/v3"/>
    <xsd:import namespace="e24b8916-de39-49d2-bdb0-db47458c1ca1"/>
    <xsd:import namespace="0bdb83ea-ee89-4709-96ae-8ca377144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b8916-de39-49d2-bdb0-db47458c1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e82fe7-f636-45ec-b780-b8750631ee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db83ea-ee89-4709-96ae-8ca377144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b4611f1-28b0-47ad-aee3-5fda9a486b15}" ma:internalName="TaxCatchAll" ma:showField="CatchAllData" ma:web="0bdb83ea-ee89-4709-96ae-8ca37714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B7B6-821A-4ECC-9F19-914F4FB799D2}">
  <ds:schemaRefs>
    <ds:schemaRef ds:uri="http://schemas.microsoft.com/sharepoint/v3"/>
    <ds:schemaRef ds:uri="http://schemas.microsoft.com/office/2006/metadata/properties"/>
    <ds:schemaRef ds:uri="http://purl.org/dc/elements/1.1/"/>
    <ds:schemaRef ds:uri="http://purl.org/dc/terms/"/>
    <ds:schemaRef ds:uri="e24b8916-de39-49d2-bdb0-db47458c1ca1"/>
    <ds:schemaRef ds:uri="http://schemas.openxmlformats.org/package/2006/metadata/core-properties"/>
    <ds:schemaRef ds:uri="0bdb83ea-ee89-4709-96ae-8ca37714409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257922-9011-4501-B6A9-5909AF497C98}">
  <ds:schemaRefs>
    <ds:schemaRef ds:uri="http://schemas.microsoft.com/sharepoint/v3/contenttype/forms"/>
  </ds:schemaRefs>
</ds:datastoreItem>
</file>

<file path=customXml/itemProps3.xml><?xml version="1.0" encoding="utf-8"?>
<ds:datastoreItem xmlns:ds="http://schemas.openxmlformats.org/officeDocument/2006/customXml" ds:itemID="{E556FE8C-5F11-4F57-9223-09C4E6F66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b8916-de39-49d2-bdb0-db47458c1ca1"/>
    <ds:schemaRef ds:uri="0bdb83ea-ee89-4709-96ae-8ca37714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Mavro</dc:creator>
  <cp:lastModifiedBy>Charlie Miller</cp:lastModifiedBy>
  <cp:revision>2</cp:revision>
  <cp:lastPrinted>2015-02-24T13:40:00Z</cp:lastPrinted>
  <dcterms:created xsi:type="dcterms:W3CDTF">2023-02-09T13:55:00Z</dcterms:created>
  <dcterms:modified xsi:type="dcterms:W3CDTF">2023-02-09T13:55:00Z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0x0101000425ED55F9EE3E4DB8B71EB277938C3B</vt:lpwstr>
  </property>
  <property fmtid="{D5CDD505-2E9C-101B-9397-08002B2CF9AE}" pid="3" name="Order">
    <vt:r8>240800</vt:r8>
  </property>
  <property fmtid="{D5CDD505-2E9C-101B-9397-08002B2CF9AE}" pid="4" name="MediaServiceImageTags">
    <vt:lpwstr/>
  </property>
</Properties>
</file>